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1" w:rsidRDefault="00CA6F59" w:rsidP="00CA6F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ИНФОРМАЦИОННЫЙ БЮЛЛЕТЕНЬ за </w:t>
      </w:r>
      <w:r w:rsidR="008144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Start"/>
      <w:r w:rsidRPr="00CA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End"/>
      <w:r w:rsidRPr="00CA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2016 года </w:t>
      </w:r>
    </w:p>
    <w:p w:rsidR="00CA6F59" w:rsidRPr="00CA6F59" w:rsidRDefault="00CA6F59" w:rsidP="00CA6F5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острых отравлений химической этиологии в Костромской области</w:t>
      </w:r>
    </w:p>
    <w:p w:rsidR="00451D5C" w:rsidRDefault="006D0CB1" w:rsidP="00451D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токсикологического мониторинга </w:t>
      </w:r>
      <w:bookmarkStart w:id="0" w:name="OLE_LINK6"/>
      <w:bookmarkStart w:id="1" w:name="OLE_LINK5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bookmarkEnd w:id="0"/>
      <w:bookmarkEnd w:id="1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острых отравлений химической этиологии. По отношению к аналогичному периоду предыдущего года среди всего населения области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 отрав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(на 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спиртосодержащей продукцией (на 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наркотическими веществами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случаев), лекарственными препаратами (на </w:t>
      </w:r>
      <w:r w:rsidR="0081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случаев)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93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3389"/>
        <w:gridCol w:w="2552"/>
      </w:tblGrid>
      <w:tr w:rsidR="00BE01D9" w:rsidTr="00BE01D9">
        <w:trPr>
          <w:trHeight w:val="341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D9" w:rsidRDefault="00BE01D9" w:rsidP="00DF000F">
            <w:pPr>
              <w:pStyle w:val="Style18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D9" w:rsidRDefault="008144CC" w:rsidP="00BE01D9">
            <w:pPr>
              <w:pStyle w:val="Style21"/>
              <w:jc w:val="center"/>
            </w:pPr>
            <w:r>
              <w:rPr>
                <w:rStyle w:val="CharStyle10"/>
              </w:rPr>
              <w:t>2</w:t>
            </w:r>
            <w:r w:rsidR="00BE01D9">
              <w:t xml:space="preserve"> </w:t>
            </w:r>
            <w:r w:rsidR="00BE01D9">
              <w:rPr>
                <w:rStyle w:val="CharStyle10"/>
              </w:rPr>
              <w:t>квартал</w:t>
            </w:r>
            <w:r w:rsidR="00BE01D9">
              <w:t xml:space="preserve"> </w:t>
            </w:r>
            <w:r w:rsidR="00BE01D9">
              <w:rPr>
                <w:rStyle w:val="CharStyle10"/>
              </w:rPr>
              <w:t>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1D9" w:rsidRDefault="008144CC" w:rsidP="00BE01D9">
            <w:pPr>
              <w:pStyle w:val="Style21"/>
              <w:jc w:val="center"/>
            </w:pPr>
            <w:r>
              <w:rPr>
                <w:rStyle w:val="CharStyle10"/>
              </w:rPr>
              <w:t>2</w:t>
            </w:r>
            <w:r w:rsidR="00BE01D9">
              <w:t xml:space="preserve"> </w:t>
            </w:r>
            <w:r w:rsidR="00BE01D9">
              <w:rPr>
                <w:rStyle w:val="CharStyle10"/>
              </w:rPr>
              <w:t>квартал</w:t>
            </w:r>
            <w:r w:rsidR="00BE01D9">
              <w:t xml:space="preserve"> </w:t>
            </w:r>
            <w:r w:rsidR="00BE01D9">
              <w:rPr>
                <w:rStyle w:val="CharStyle10"/>
              </w:rPr>
              <w:t>2016г.</w:t>
            </w:r>
          </w:p>
        </w:tc>
      </w:tr>
      <w:tr w:rsidR="00E657E8" w:rsidTr="00BE01D9">
        <w:trPr>
          <w:trHeight w:hRule="exact" w:val="26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ind w:left="10"/>
            </w:pPr>
            <w:r>
              <w:rPr>
                <w:rStyle w:val="CharStyle37"/>
              </w:rPr>
              <w:t>Всего отравлений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8144CC">
            <w:pPr>
              <w:pStyle w:val="Style29"/>
              <w:jc w:val="center"/>
            </w:pPr>
            <w:r>
              <w:rPr>
                <w:rStyle w:val="CharStyle37"/>
              </w:rPr>
              <w:t>11</w:t>
            </w:r>
            <w:r w:rsidR="008144CC">
              <w:rPr>
                <w:rStyle w:val="CharStyle37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8144CC" w:rsidP="00DF000F">
            <w:pPr>
              <w:pStyle w:val="Style29"/>
              <w:jc w:val="center"/>
            </w:pPr>
            <w:r>
              <w:rPr>
                <w:rStyle w:val="CharStyle37"/>
              </w:rPr>
              <w:t>64</w:t>
            </w:r>
          </w:p>
        </w:tc>
      </w:tr>
      <w:tr w:rsidR="00E657E8" w:rsidTr="00BE01D9">
        <w:trPr>
          <w:trHeight w:hRule="exact" w:val="269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E657E8" w:rsidP="00DF000F">
            <w:pPr>
              <w:pStyle w:val="Style29"/>
              <w:ind w:left="5"/>
            </w:pPr>
            <w:r>
              <w:rPr>
                <w:rStyle w:val="CharStyle37"/>
              </w:rPr>
              <w:t>Из них с летальным исходом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8144CC" w:rsidP="00DF000F">
            <w:pPr>
              <w:pStyle w:val="Style29"/>
              <w:jc w:val="center"/>
            </w:pPr>
            <w:r>
              <w:rPr>
                <w:rStyle w:val="CharStyle37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E8" w:rsidRDefault="008144CC" w:rsidP="00DF000F">
            <w:pPr>
              <w:pStyle w:val="Style29"/>
              <w:jc w:val="center"/>
            </w:pPr>
            <w:r>
              <w:rPr>
                <w:rStyle w:val="CharStyle37"/>
              </w:rPr>
              <w:t>33</w:t>
            </w:r>
          </w:p>
        </w:tc>
      </w:tr>
    </w:tbl>
    <w:p w:rsidR="006D0CB1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к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отравлений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в результате употребления 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спиртосодержащей 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составило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201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CB1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Наибольшее число летальных исходов так же отмечалось в результате отравлений спиртосодержащей продукцией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(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,9%). </w:t>
      </w:r>
    </w:p>
    <w:p w:rsidR="00E657E8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отравлений наркотическими веществами за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года составило –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 – 1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0), все случаи с летальным исходом.</w:t>
      </w:r>
    </w:p>
    <w:p w:rsidR="00E657E8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отравлений лекарственными веществами составило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случаев, в сравнении со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кварталом 201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года произошло снижение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013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случаев.</w:t>
      </w:r>
    </w:p>
    <w:p w:rsidR="00074576" w:rsidRDefault="00074576" w:rsidP="0085218D">
      <w:pPr>
        <w:spacing w:before="120" w:after="12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2860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D0B43" w:rsidRPr="00BD0B43">
        <w:rPr>
          <w:noProof/>
          <w:lang w:eastAsia="ru-RU"/>
        </w:rPr>
        <w:t xml:space="preserve"> </w:t>
      </w:r>
      <w:r w:rsidR="00CB076A">
        <w:rPr>
          <w:noProof/>
          <w:lang w:eastAsia="ru-RU"/>
        </w:rPr>
        <w:t xml:space="preserve">      </w:t>
      </w:r>
      <w:r w:rsidR="00BD0B43">
        <w:rPr>
          <w:noProof/>
          <w:lang w:eastAsia="ru-RU"/>
        </w:rPr>
        <w:t xml:space="preserve">   </w:t>
      </w:r>
      <w:r w:rsidR="00046E55" w:rsidRPr="00046E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286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7E8" w:rsidRPr="006D0CB1" w:rsidRDefault="00E657E8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3F" w:rsidRDefault="00F9393F" w:rsidP="00F939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4"/>
      <w:bookmarkStart w:id="3" w:name="OLE_LINK3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остр</w:t>
      </w:r>
      <w:bookmarkEnd w:id="2"/>
      <w:bookmarkEnd w:id="3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отравлений по половозрастным группам населения на долю мужчин приходится 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73,4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 – 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62,7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 </w:t>
      </w:r>
      <w:bookmarkStart w:id="4" w:name="OLE_LINK2"/>
      <w:bookmarkStart w:id="5" w:name="OLE_LINK1"/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End w:id="4"/>
      <w:bookmarkEnd w:id="5"/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26,6%),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 -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 (</w:t>
      </w:r>
      <w:r w:rsidR="0085218D">
        <w:rPr>
          <w:rFonts w:ascii="Times New Roman" w:eastAsia="Times New Roman" w:hAnsi="Times New Roman" w:cs="Times New Roman"/>
          <w:sz w:val="24"/>
          <w:szCs w:val="24"/>
          <w:lang w:eastAsia="ru-RU"/>
        </w:rPr>
        <w:t>37,3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F9393F" w:rsidRDefault="004F5056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5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534150" cy="26574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7B8F" w:rsidRPr="00D07B8F" w:rsidRDefault="00D07B8F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451E5" w:rsidRDefault="00D07B8F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675" cy="242887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CB1" w:rsidRDefault="006D0CB1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число отравлений,</w:t>
      </w:r>
      <w:r w:rsidR="00451D5C" w:rsidRP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5C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возрастной группе </w:t>
      </w:r>
      <w:r w:rsidR="004F5056">
        <w:rPr>
          <w:rFonts w:ascii="Times New Roman" w:eastAsia="Times New Roman" w:hAnsi="Times New Roman" w:cs="Times New Roman"/>
          <w:sz w:val="24"/>
          <w:szCs w:val="24"/>
          <w:lang w:eastAsia="ru-RU"/>
        </w:rPr>
        <w:t>26-39</w:t>
      </w:r>
      <w:r w:rsidR="00451D5C"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4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5056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 w:rsidR="0014562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4F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5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6D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группе 26-39 лет</w:t>
      </w:r>
      <w:r w:rsidR="0014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94E87">
        <w:rPr>
          <w:rFonts w:ascii="Times New Roman" w:eastAsia="Times New Roman" w:hAnsi="Times New Roman" w:cs="Times New Roman"/>
          <w:sz w:val="24"/>
          <w:szCs w:val="24"/>
          <w:lang w:eastAsia="ru-RU"/>
        </w:rPr>
        <w:t>24,6</w:t>
      </w:r>
      <w:r w:rsidR="0014562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45623" w:rsidRDefault="00145623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23" w:rsidRDefault="00494E87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8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153150" cy="25527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F91" w:rsidRDefault="00602F91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91" w:rsidRDefault="00494E87" w:rsidP="00D07B8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8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152515" cy="2509520"/>
            <wp:effectExtent l="19050" t="0" r="19685" b="508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5623" w:rsidRPr="006D0CB1" w:rsidRDefault="00145623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87" w:rsidRDefault="00602F91" w:rsidP="00BD4511">
      <w:pPr>
        <w:pStyle w:val="Style50"/>
        <w:spacing w:before="91" w:line="355" w:lineRule="exact"/>
        <w:ind w:firstLine="709"/>
        <w:rPr>
          <w:rStyle w:val="CharStyle37"/>
          <w:sz w:val="24"/>
          <w:szCs w:val="24"/>
        </w:rPr>
      </w:pPr>
      <w:r w:rsidRPr="00602F91">
        <w:rPr>
          <w:rStyle w:val="CharStyle37"/>
          <w:sz w:val="24"/>
          <w:szCs w:val="24"/>
        </w:rPr>
        <w:lastRenderedPageBreak/>
        <w:t xml:space="preserve">В структуре пострадавших от острых отравлений химической этиологии наибольшую долю составляют </w:t>
      </w:r>
      <w:r w:rsidRPr="00602F91">
        <w:rPr>
          <w:rStyle w:val="CharStyle35"/>
          <w:sz w:val="24"/>
          <w:szCs w:val="24"/>
        </w:rPr>
        <w:t xml:space="preserve">неработающие </w:t>
      </w:r>
      <w:r w:rsidRPr="00602F91">
        <w:rPr>
          <w:rStyle w:val="CharStyle37"/>
          <w:sz w:val="24"/>
          <w:szCs w:val="24"/>
        </w:rPr>
        <w:t>трудоспособного возраста (</w:t>
      </w:r>
      <w:r w:rsidR="00494E87">
        <w:rPr>
          <w:rStyle w:val="CharStyle37"/>
          <w:sz w:val="24"/>
          <w:szCs w:val="24"/>
        </w:rPr>
        <w:t>42,2</w:t>
      </w:r>
      <w:r w:rsidRPr="00602F91">
        <w:rPr>
          <w:rStyle w:val="CharStyle37"/>
          <w:sz w:val="24"/>
          <w:szCs w:val="24"/>
        </w:rPr>
        <w:t xml:space="preserve">%). Второе место по числу пострадавших - </w:t>
      </w:r>
      <w:r>
        <w:rPr>
          <w:rStyle w:val="CharStyle35"/>
          <w:sz w:val="24"/>
          <w:szCs w:val="24"/>
        </w:rPr>
        <w:t>пенсионеры</w:t>
      </w:r>
      <w:r w:rsidRPr="00602F91">
        <w:rPr>
          <w:rStyle w:val="CharStyle35"/>
          <w:sz w:val="24"/>
          <w:szCs w:val="24"/>
        </w:rPr>
        <w:t xml:space="preserve"> </w:t>
      </w:r>
      <w:r w:rsidRPr="00602F91">
        <w:rPr>
          <w:rStyle w:val="CharStyle37"/>
          <w:sz w:val="24"/>
          <w:szCs w:val="24"/>
        </w:rPr>
        <w:t>(</w:t>
      </w:r>
      <w:r w:rsidR="00494E87">
        <w:rPr>
          <w:rStyle w:val="CharStyle37"/>
          <w:sz w:val="24"/>
          <w:szCs w:val="24"/>
        </w:rPr>
        <w:t xml:space="preserve">25 </w:t>
      </w:r>
      <w:r w:rsidRPr="00602F91">
        <w:rPr>
          <w:rStyle w:val="CharStyle37"/>
          <w:sz w:val="24"/>
          <w:szCs w:val="24"/>
        </w:rPr>
        <w:t xml:space="preserve">%). </w:t>
      </w:r>
    </w:p>
    <w:p w:rsidR="00494E87" w:rsidRPr="00494E87" w:rsidRDefault="00494E87" w:rsidP="00BD4511">
      <w:pPr>
        <w:pStyle w:val="Style50"/>
        <w:spacing w:before="91" w:line="355" w:lineRule="exact"/>
        <w:ind w:firstLine="709"/>
        <w:rPr>
          <w:rStyle w:val="CharStyle37"/>
          <w:sz w:val="24"/>
          <w:szCs w:val="24"/>
        </w:rPr>
      </w:pPr>
      <w:r>
        <w:rPr>
          <w:rStyle w:val="CharStyle37"/>
          <w:sz w:val="24"/>
          <w:szCs w:val="24"/>
        </w:rPr>
        <w:t>Во 2 квартале 2016 года отмечается 1 отравление курительными смесями (</w:t>
      </w:r>
      <w:r>
        <w:rPr>
          <w:rStyle w:val="CharStyle37"/>
          <w:sz w:val="24"/>
          <w:szCs w:val="24"/>
          <w:lang w:val="en-US"/>
        </w:rPr>
        <w:t>SPICE</w:t>
      </w:r>
      <w:r>
        <w:rPr>
          <w:rStyle w:val="CharStyle37"/>
          <w:sz w:val="24"/>
          <w:szCs w:val="24"/>
        </w:rPr>
        <w:t>).</w:t>
      </w:r>
    </w:p>
    <w:p w:rsidR="00DA58D8" w:rsidRPr="00DA58D8" w:rsidRDefault="00DA58D8" w:rsidP="00BD4511">
      <w:pPr>
        <w:pStyle w:val="Style50"/>
        <w:spacing w:before="91" w:line="355" w:lineRule="exact"/>
        <w:ind w:firstLine="709"/>
        <w:rPr>
          <w:sz w:val="24"/>
          <w:szCs w:val="24"/>
        </w:rPr>
      </w:pPr>
      <w:r w:rsidRPr="00DA58D8">
        <w:rPr>
          <w:sz w:val="24"/>
          <w:szCs w:val="24"/>
        </w:rPr>
        <w:t>Данные токсикологического мониторинга позволяют оценить динамику острых отравлений, их характер, а также выявить контингент пострадавших. Ежеквартально проводится анализ отравлений, материал размещается на сайте Управления</w:t>
      </w:r>
      <w:proofErr w:type="gramStart"/>
      <w:r w:rsidR="00494E87">
        <w:rPr>
          <w:sz w:val="24"/>
          <w:szCs w:val="24"/>
        </w:rPr>
        <w:t>.</w:t>
      </w:r>
      <w:r w:rsidRPr="00DA58D8">
        <w:rPr>
          <w:sz w:val="24"/>
          <w:szCs w:val="24"/>
        </w:rPr>
        <w:t>.</w:t>
      </w:r>
      <w:proofErr w:type="gramEnd"/>
    </w:p>
    <w:p w:rsidR="006D0CB1" w:rsidRPr="00DA58D8" w:rsidRDefault="006D0CB1" w:rsidP="006D0C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38" w:rsidRDefault="00E72F38"/>
    <w:sectPr w:rsidR="00E72F38" w:rsidSect="0085218D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CB1"/>
    <w:rsid w:val="00046E55"/>
    <w:rsid w:val="00074576"/>
    <w:rsid w:val="000B2FB1"/>
    <w:rsid w:val="001227D6"/>
    <w:rsid w:val="00145623"/>
    <w:rsid w:val="0023105B"/>
    <w:rsid w:val="00240217"/>
    <w:rsid w:val="002B22A7"/>
    <w:rsid w:val="00451D5C"/>
    <w:rsid w:val="00494E87"/>
    <w:rsid w:val="004F5056"/>
    <w:rsid w:val="00602F91"/>
    <w:rsid w:val="00621AFB"/>
    <w:rsid w:val="0063659E"/>
    <w:rsid w:val="00672A5A"/>
    <w:rsid w:val="006D0CB1"/>
    <w:rsid w:val="007461DA"/>
    <w:rsid w:val="00747EFD"/>
    <w:rsid w:val="0080134F"/>
    <w:rsid w:val="008144CC"/>
    <w:rsid w:val="0085218D"/>
    <w:rsid w:val="009717B0"/>
    <w:rsid w:val="009C4EB3"/>
    <w:rsid w:val="00B61AD2"/>
    <w:rsid w:val="00BD0B43"/>
    <w:rsid w:val="00BD4511"/>
    <w:rsid w:val="00BE01D9"/>
    <w:rsid w:val="00C351F7"/>
    <w:rsid w:val="00CA6F59"/>
    <w:rsid w:val="00CB076A"/>
    <w:rsid w:val="00CE6366"/>
    <w:rsid w:val="00D07B8F"/>
    <w:rsid w:val="00D451E5"/>
    <w:rsid w:val="00DA58D8"/>
    <w:rsid w:val="00DF000F"/>
    <w:rsid w:val="00E54B5E"/>
    <w:rsid w:val="00E60942"/>
    <w:rsid w:val="00E657E8"/>
    <w:rsid w:val="00E72F38"/>
    <w:rsid w:val="00ED73E1"/>
    <w:rsid w:val="00F53969"/>
    <w:rsid w:val="00F9393F"/>
    <w:rsid w:val="00F9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E6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rsid w:val="00E6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E6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Style10"/>
    <w:basedOn w:val="a0"/>
    <w:rsid w:val="00E657E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7">
    <w:name w:val="CharStyle37"/>
    <w:basedOn w:val="a0"/>
    <w:rsid w:val="00E657E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76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rsid w:val="00D451E5"/>
    <w:pPr>
      <w:spacing w:after="0" w:line="413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5">
    <w:name w:val="CharStyle35"/>
    <w:basedOn w:val="a0"/>
    <w:rsid w:val="00602F9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90;&#1086;&#1082;&#1089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65;&#1077;&#1085;&#1085;&#1080;&#1082;&#1086;&#1074;&#1072;%20&#1045;.&#1057;\&#1090;&#1086;&#1082;&#1089;&#1080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65;&#1077;&#1085;&#1085;&#1080;&#1082;&#1086;&#1074;&#1072;%20&#1045;.&#1057;\&#1090;&#1086;&#1082;&#1089;&#1080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65;&#1077;&#1085;&#1085;&#1080;&#1082;&#1086;&#1074;&#1072;%20&#1045;.&#1057;\&#1090;&#1086;&#1082;&#1089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острых отравлений химической этиологии жителей Костромской области в зависимости от вещества во 2 квартале 2016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8796150481189881E-2"/>
          <c:y val="0.2808732041024995"/>
          <c:w val="0.96092621755613938"/>
          <c:h val="0.6551210616745208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596349319971368E-2"/>
                  <c:y val="-4.807471355237222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спиртосодержащая продукция
48,4%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030519708012435"/>
                  <c:y val="-4.685408299866131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наркотические вещества
4,7%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4.2582438558816604E-2"/>
                  <c:y val="6.280365556715049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лекарственные средства                                                           
26,6%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6067573371510388"/>
                  <c:y val="4.11700344685829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другие
20,3%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Лист1!$B$5:$B$8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Лист1!$C$5:$C$8</c:f>
              <c:numCache>
                <c:formatCode>0.00%</c:formatCode>
                <c:ptCount val="4"/>
                <c:pt idx="0">
                  <c:v>0.42200000000000032</c:v>
                </c:pt>
                <c:pt idx="1">
                  <c:v>8.9000000000000204E-2</c:v>
                </c:pt>
                <c:pt idx="2">
                  <c:v>0.31100000000000061</c:v>
                </c:pt>
                <c:pt idx="3">
                  <c:v>0.17800000000000021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itchFamily="18" charset="0"/>
                <a:cs typeface="Times New Roman" pitchFamily="18" charset="0"/>
              </a:rPr>
              <a:t>Структура летальных исходов от острых отравлений химической этиологии жителей Костромской области в зависимости от вещества за 2 квартал 2016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5088680180037746"/>
          <c:w val="0.68968892133516424"/>
          <c:h val="0.6172625409775583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Лист1!$A$6:$A$9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леарственные вещества</c:v>
                </c:pt>
                <c:pt idx="3">
                  <c:v>другие</c:v>
                </c:pt>
              </c:strCache>
            </c:strRef>
          </c:cat>
          <c:val>
            <c:numRef>
              <c:f>Лист1!$B$6:$B$9</c:f>
              <c:numCache>
                <c:formatCode>0.0%</c:formatCode>
                <c:ptCount val="4"/>
                <c:pt idx="0">
                  <c:v>0.78800000000000003</c:v>
                </c:pt>
                <c:pt idx="1">
                  <c:v>9.1000000000000025E-2</c:v>
                </c:pt>
                <c:pt idx="2">
                  <c:v>6.1000000000000006E-2</c:v>
                </c:pt>
                <c:pt idx="3">
                  <c:v>6.1000000000000006E-2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435753477835137"/>
          <c:y val="0.33645679832189662"/>
          <c:w val="0.31564246522164879"/>
          <c:h val="0.5818650981880276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Отравление по половой принадлежности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2054684468789227"/>
          <c:y val="0.2125116652085155"/>
          <c:w val="0.68467054661645599"/>
          <c:h val="0.56001348789734551"/>
        </c:manualLayout>
      </c:layout>
      <c:bar3DChart>
        <c:barDir val="col"/>
        <c:grouping val="stacked"/>
        <c:ser>
          <c:idx val="0"/>
          <c:order val="0"/>
          <c:tx>
            <c:strRef>
              <c:f>Лист1!$A$25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layout>
                <c:manualLayout>
                  <c:x val="1.62318840579710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5507246376811614E-2"/>
                  <c:y val="9.25925925925927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Лист1!$B$24:$C$24</c:f>
              <c:strCache>
                <c:ptCount val="2"/>
                <c:pt idx="0">
                  <c:v>2 квартал 2016 года</c:v>
                </c:pt>
                <c:pt idx="1">
                  <c:v>2 квартал 2015 года </c:v>
                </c:pt>
              </c:strCache>
            </c:strRef>
          </c:cat>
          <c:val>
            <c:numRef>
              <c:f>Лист1!$B$25:$C$25</c:f>
              <c:numCache>
                <c:formatCode>General</c:formatCode>
                <c:ptCount val="2"/>
                <c:pt idx="0">
                  <c:v>73.400000000000006</c:v>
                </c:pt>
                <c:pt idx="1">
                  <c:v>62.7</c:v>
                </c:pt>
              </c:numCache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-1.8550724637681173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3188405797101432E-2"/>
                  <c:y val="-6.0185185185185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Лист1!$B$24:$C$24</c:f>
              <c:strCache>
                <c:ptCount val="2"/>
                <c:pt idx="0">
                  <c:v>2 квартал 2016 года</c:v>
                </c:pt>
                <c:pt idx="1">
                  <c:v>2 квартал 2015 года </c:v>
                </c:pt>
              </c:strCache>
            </c:strRef>
          </c:cat>
          <c:val>
            <c:numRef>
              <c:f>Лист1!$B$26:$C$26</c:f>
              <c:numCache>
                <c:formatCode>General</c:formatCode>
                <c:ptCount val="2"/>
                <c:pt idx="0">
                  <c:v>26.6</c:v>
                </c:pt>
                <c:pt idx="1">
                  <c:v>37.200000000000003</c:v>
                </c:pt>
              </c:numCache>
            </c:numRef>
          </c:val>
        </c:ser>
        <c:gapWidth val="75"/>
        <c:shape val="cone"/>
        <c:axId val="87803008"/>
        <c:axId val="87804544"/>
        <c:axId val="0"/>
      </c:bar3DChart>
      <c:catAx>
        <c:axId val="87803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804544"/>
        <c:crosses val="autoZero"/>
        <c:auto val="1"/>
        <c:lblAlgn val="ctr"/>
        <c:lblOffset val="100"/>
      </c:catAx>
      <c:valAx>
        <c:axId val="87804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aseline="0"/>
            </a:pPr>
            <a:endParaRPr lang="ru-RU"/>
          </a:p>
        </c:txPr>
        <c:crossAx val="87803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1625415953440605"/>
          <c:y val="0.44869021580635754"/>
          <c:w val="0.18372338240328667"/>
          <c:h val="0.1948283027121610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Число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лиц получивших острые отравления химической этиологии в зависимости от пола (абс.число случаев)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8475523780095765E-2"/>
          <c:y val="0.19954863213103302"/>
          <c:w val="0.8254786492299816"/>
          <c:h val="0.63960624649021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Лист1!$A$52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Лист1!$B$51:$E$51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Лист1!$B$52:$E$52</c:f>
              <c:numCache>
                <c:formatCode>General</c:formatCode>
                <c:ptCount val="4"/>
                <c:pt idx="0">
                  <c:v>29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женщины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Лист1!$B$51:$E$51</c:f>
              <c:strCache>
                <c:ptCount val="4"/>
                <c:pt idx="0">
                  <c:v>спиртосодержащая продукция</c:v>
                </c:pt>
                <c:pt idx="1">
                  <c:v>наркотические вещества</c:v>
                </c:pt>
                <c:pt idx="2">
                  <c:v>лекарственные средства</c:v>
                </c:pt>
                <c:pt idx="3">
                  <c:v>другие</c:v>
                </c:pt>
              </c:strCache>
            </c:strRef>
          </c:cat>
          <c:val>
            <c:numRef>
              <c:f>Лист1!$B$53:$E$53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shape val="cylinder"/>
        <c:axId val="87937408"/>
        <c:axId val="87938944"/>
        <c:axId val="0"/>
      </c:bar3DChart>
      <c:catAx>
        <c:axId val="87937408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938944"/>
        <c:crosses val="autoZero"/>
        <c:auto val="1"/>
        <c:lblAlgn val="ctr"/>
        <c:lblOffset val="100"/>
      </c:catAx>
      <c:valAx>
        <c:axId val="87938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93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21376367255398"/>
          <c:y val="0.4254385260665946"/>
          <c:w val="0.11620809407557678"/>
          <c:h val="0.2022341047851719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чистенности жителей Костромской области, пострадавших от отравлений химической этиологии по возрастным группам (абс.число случаев)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Лист1!$B$77</c:f>
              <c:strCache>
                <c:ptCount val="1"/>
                <c:pt idx="0">
                  <c:v>2 квартал 2015</c:v>
                </c:pt>
              </c:strCache>
            </c:strRef>
          </c:tx>
          <c:dLbls>
            <c:showVal val="1"/>
          </c:dLbls>
          <c:cat>
            <c:strRef>
              <c:f>Лист1!$A$78:$A$84</c:f>
              <c:strCache>
                <c:ptCount val="7"/>
                <c:pt idx="0">
                  <c:v>0-6 лет</c:v>
                </c:pt>
                <c:pt idx="1">
                  <c:v>7-17  лет</c:v>
                </c:pt>
                <c:pt idx="2">
                  <c:v>18-25  лет</c:v>
                </c:pt>
                <c:pt idx="3">
                  <c:v>26-39  лет</c:v>
                </c:pt>
                <c:pt idx="4">
                  <c:v>40-49 лет </c:v>
                </c:pt>
                <c:pt idx="5">
                  <c:v>50-59 лет</c:v>
                </c:pt>
                <c:pt idx="6">
                  <c:v>60 лет и старше</c:v>
                </c:pt>
              </c:strCache>
            </c:strRef>
          </c:cat>
          <c:val>
            <c:numRef>
              <c:f>Лист1!$B$78:$B$84</c:f>
              <c:numCache>
                <c:formatCode>General</c:formatCode>
                <c:ptCount val="7"/>
                <c:pt idx="0">
                  <c:v>7</c:v>
                </c:pt>
                <c:pt idx="1">
                  <c:v>16</c:v>
                </c:pt>
                <c:pt idx="2">
                  <c:v>8</c:v>
                </c:pt>
                <c:pt idx="3">
                  <c:v>29</c:v>
                </c:pt>
                <c:pt idx="4">
                  <c:v>13</c:v>
                </c:pt>
                <c:pt idx="5">
                  <c:v>24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Лист1!$C$77</c:f>
              <c:strCache>
                <c:ptCount val="1"/>
                <c:pt idx="0">
                  <c:v>2 квартал 2016</c:v>
                </c:pt>
              </c:strCache>
            </c:strRef>
          </c:tx>
          <c:dLbls>
            <c:showVal val="1"/>
          </c:dLbls>
          <c:cat>
            <c:strRef>
              <c:f>Лист1!$A$78:$A$84</c:f>
              <c:strCache>
                <c:ptCount val="7"/>
                <c:pt idx="0">
                  <c:v>0-6 лет</c:v>
                </c:pt>
                <c:pt idx="1">
                  <c:v>7-17  лет</c:v>
                </c:pt>
                <c:pt idx="2">
                  <c:v>18-25  лет</c:v>
                </c:pt>
                <c:pt idx="3">
                  <c:v>26-39  лет</c:v>
                </c:pt>
                <c:pt idx="4">
                  <c:v>40-49 лет </c:v>
                </c:pt>
                <c:pt idx="5">
                  <c:v>50-59 лет</c:v>
                </c:pt>
                <c:pt idx="6">
                  <c:v>60 лет и старше</c:v>
                </c:pt>
              </c:strCache>
            </c:strRef>
          </c:cat>
          <c:val>
            <c:numRef>
              <c:f>Лист1!$C$78:$C$84</c:f>
              <c:numCache>
                <c:formatCode>General</c:formatCode>
                <c:ptCount val="7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16</c:v>
                </c:pt>
                <c:pt idx="4">
                  <c:v>12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</c:ser>
        <c:axId val="89286528"/>
        <c:axId val="89309952"/>
      </c:barChart>
      <c:catAx>
        <c:axId val="89286528"/>
        <c:scaling>
          <c:orientation val="minMax"/>
        </c:scaling>
        <c:axPos val="b"/>
        <c:majorTickMark val="none"/>
        <c:tickLblPos val="nextTo"/>
        <c:crossAx val="89309952"/>
        <c:crosses val="autoZero"/>
        <c:auto val="1"/>
        <c:lblAlgn val="ctr"/>
        <c:lblOffset val="100"/>
      </c:catAx>
      <c:valAx>
        <c:axId val="89309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28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лиц, получивших отравления в зависимости от социального положения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2 квартал 2015</c:v>
                </c:pt>
              </c:strCache>
            </c:strRef>
          </c:tx>
          <c:cat>
            <c:strRef>
              <c:f>Лист1!$A$92:$A$98</c:f>
              <c:strCache>
                <c:ptCount val="7"/>
                <c:pt idx="0">
                  <c:v>неорганизованные дети</c:v>
                </c:pt>
                <c:pt idx="1">
                  <c:v>дети, посещающие ДДУ</c:v>
                </c:pt>
                <c:pt idx="2">
                  <c:v>школьники</c:v>
                </c:pt>
                <c:pt idx="3">
                  <c:v>учащиеся (техникумов, ВУЗов)</c:v>
                </c:pt>
                <c:pt idx="4">
                  <c:v>работающее население</c:v>
                </c:pt>
                <c:pt idx="5">
                  <c:v>безработные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Лист1!$B$92:$B$98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16</c:v>
                </c:pt>
                <c:pt idx="3">
                  <c:v>3</c:v>
                </c:pt>
                <c:pt idx="4">
                  <c:v>22</c:v>
                </c:pt>
                <c:pt idx="5">
                  <c:v>46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Лист1!$C$91</c:f>
              <c:strCache>
                <c:ptCount val="1"/>
                <c:pt idx="0">
                  <c:v>2 квартал 2016</c:v>
                </c:pt>
              </c:strCache>
            </c:strRef>
          </c:tx>
          <c:cat>
            <c:strRef>
              <c:f>Лист1!$A$92:$A$98</c:f>
              <c:strCache>
                <c:ptCount val="7"/>
                <c:pt idx="0">
                  <c:v>неорганизованные дети</c:v>
                </c:pt>
                <c:pt idx="1">
                  <c:v>дети, посещающие ДДУ</c:v>
                </c:pt>
                <c:pt idx="2">
                  <c:v>школьники</c:v>
                </c:pt>
                <c:pt idx="3">
                  <c:v>учащиеся (техникумов, ВУЗов)</c:v>
                </c:pt>
                <c:pt idx="4">
                  <c:v>работающее население</c:v>
                </c:pt>
                <c:pt idx="5">
                  <c:v>безработные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Лист1!$C$92:$C$98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9</c:v>
                </c:pt>
                <c:pt idx="5">
                  <c:v>27</c:v>
                </c:pt>
                <c:pt idx="6">
                  <c:v>16</c:v>
                </c:pt>
              </c:numCache>
            </c:numRef>
          </c:val>
        </c:ser>
        <c:dLbls>
          <c:showVal val="1"/>
        </c:dLbls>
        <c:shape val="cylinder"/>
        <c:axId val="113186688"/>
        <c:axId val="113279360"/>
        <c:axId val="0"/>
      </c:bar3DChart>
      <c:catAx>
        <c:axId val="113186688"/>
        <c:scaling>
          <c:orientation val="minMax"/>
        </c:scaling>
        <c:axPos val="b"/>
        <c:tickLblPos val="nextTo"/>
        <c:crossAx val="113279360"/>
        <c:crosses val="autoZero"/>
        <c:auto val="1"/>
        <c:lblAlgn val="ctr"/>
        <c:lblOffset val="100"/>
      </c:catAx>
      <c:valAx>
        <c:axId val="113279360"/>
        <c:scaling>
          <c:orientation val="minMax"/>
        </c:scaling>
        <c:axPos val="l"/>
        <c:majorGridlines/>
        <c:numFmt formatCode="General" sourceLinked="1"/>
        <c:tickLblPos val="nextTo"/>
        <c:crossAx val="113186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AF46-5909-4B42-BCA6-5DB687FB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СГМ</dc:creator>
  <cp:lastModifiedBy>Сотрудник отдела СГМ</cp:lastModifiedBy>
  <cp:revision>5</cp:revision>
  <cp:lastPrinted>2016-05-11T10:27:00Z</cp:lastPrinted>
  <dcterms:created xsi:type="dcterms:W3CDTF">2016-12-21T05:44:00Z</dcterms:created>
  <dcterms:modified xsi:type="dcterms:W3CDTF">2016-12-21T06:42:00Z</dcterms:modified>
</cp:coreProperties>
</file>