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A8" w:rsidRPr="00785742" w:rsidRDefault="004106A8" w:rsidP="004106A8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785742">
        <w:rPr>
          <w:b/>
          <w:sz w:val="28"/>
          <w:szCs w:val="28"/>
        </w:rPr>
        <w:t>ИНФОРМАЦИОННЫЙ БЮЛЛЕТЕНЬ</w:t>
      </w:r>
    </w:p>
    <w:p w:rsidR="004106A8" w:rsidRDefault="004106A8" w:rsidP="004106A8">
      <w:pPr>
        <w:jc w:val="center"/>
        <w:rPr>
          <w:b/>
          <w:sz w:val="28"/>
          <w:szCs w:val="28"/>
        </w:rPr>
      </w:pPr>
    </w:p>
    <w:p w:rsidR="004106A8" w:rsidRDefault="004106A8" w:rsidP="004106A8">
      <w:pPr>
        <w:jc w:val="center"/>
        <w:rPr>
          <w:b/>
        </w:rPr>
      </w:pPr>
    </w:p>
    <w:p w:rsidR="004106A8" w:rsidRPr="00483EBC" w:rsidRDefault="004106A8" w:rsidP="004106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483EBC">
        <w:rPr>
          <w:b/>
          <w:sz w:val="28"/>
          <w:szCs w:val="28"/>
        </w:rPr>
        <w:t>езультат</w:t>
      </w:r>
      <w:r>
        <w:rPr>
          <w:b/>
          <w:sz w:val="28"/>
          <w:szCs w:val="28"/>
        </w:rPr>
        <w:t>ы</w:t>
      </w:r>
      <w:r w:rsidRPr="00483EBC">
        <w:rPr>
          <w:b/>
          <w:sz w:val="28"/>
          <w:szCs w:val="28"/>
        </w:rPr>
        <w:t xml:space="preserve"> мониторинга острых отравлений химической этиологии</w:t>
      </w:r>
    </w:p>
    <w:p w:rsidR="004106A8" w:rsidRDefault="004106A8" w:rsidP="004106A8">
      <w:pPr>
        <w:jc w:val="center"/>
        <w:rPr>
          <w:b/>
          <w:sz w:val="28"/>
          <w:szCs w:val="28"/>
        </w:rPr>
      </w:pPr>
      <w:r w:rsidRPr="00483EBC">
        <w:rPr>
          <w:b/>
          <w:sz w:val="28"/>
          <w:szCs w:val="28"/>
        </w:rPr>
        <w:t xml:space="preserve">в Костромской области </w:t>
      </w:r>
    </w:p>
    <w:p w:rsidR="004C541F" w:rsidRDefault="004C541F" w:rsidP="004106A8">
      <w:pPr>
        <w:jc w:val="center"/>
        <w:rPr>
          <w:b/>
          <w:sz w:val="28"/>
          <w:szCs w:val="28"/>
        </w:rPr>
      </w:pPr>
    </w:p>
    <w:p w:rsidR="004C541F" w:rsidRPr="00483EBC" w:rsidRDefault="004C541F" w:rsidP="004106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III</w:t>
      </w:r>
      <w:r w:rsidRPr="00483EBC">
        <w:rPr>
          <w:b/>
          <w:sz w:val="28"/>
          <w:szCs w:val="28"/>
        </w:rPr>
        <w:t xml:space="preserve"> квартал 201</w:t>
      </w:r>
      <w:r w:rsidRPr="00222494">
        <w:rPr>
          <w:b/>
          <w:sz w:val="28"/>
          <w:szCs w:val="28"/>
        </w:rPr>
        <w:t>7</w:t>
      </w:r>
      <w:r w:rsidRPr="00483EBC">
        <w:rPr>
          <w:b/>
          <w:sz w:val="28"/>
          <w:szCs w:val="28"/>
        </w:rPr>
        <w:t xml:space="preserve"> года</w:t>
      </w:r>
    </w:p>
    <w:p w:rsidR="004106A8" w:rsidRDefault="004106A8" w:rsidP="004106A8">
      <w:pPr>
        <w:ind w:firstLine="709"/>
        <w:jc w:val="center"/>
        <w:rPr>
          <w:sz w:val="28"/>
          <w:szCs w:val="28"/>
        </w:rPr>
      </w:pPr>
    </w:p>
    <w:p w:rsidR="00DE373A" w:rsidRPr="002D3F97" w:rsidRDefault="00DE373A" w:rsidP="004106A8">
      <w:pPr>
        <w:ind w:firstLine="709"/>
        <w:jc w:val="center"/>
        <w:rPr>
          <w:sz w:val="28"/>
          <w:szCs w:val="28"/>
        </w:rPr>
      </w:pPr>
    </w:p>
    <w:p w:rsidR="004106A8" w:rsidRPr="00B769CF" w:rsidRDefault="004106A8" w:rsidP="004106A8">
      <w:pPr>
        <w:ind w:firstLine="709"/>
        <w:jc w:val="both"/>
        <w:rPr>
          <w:sz w:val="28"/>
          <w:szCs w:val="28"/>
        </w:rPr>
      </w:pPr>
      <w:r w:rsidRPr="00B769CF">
        <w:rPr>
          <w:sz w:val="28"/>
          <w:szCs w:val="28"/>
        </w:rPr>
        <w:t xml:space="preserve">По данным токсикологического мониторинга за </w:t>
      </w:r>
      <w:r w:rsidR="00627795">
        <w:rPr>
          <w:sz w:val="28"/>
          <w:szCs w:val="28"/>
        </w:rPr>
        <w:t>3</w:t>
      </w:r>
      <w:r w:rsidRPr="00B769CF">
        <w:rPr>
          <w:sz w:val="28"/>
          <w:szCs w:val="28"/>
        </w:rPr>
        <w:t xml:space="preserve"> квартал 201</w:t>
      </w:r>
      <w:r w:rsidR="00627795">
        <w:rPr>
          <w:sz w:val="28"/>
          <w:szCs w:val="28"/>
        </w:rPr>
        <w:t>7</w:t>
      </w:r>
      <w:r w:rsidRPr="00B769CF">
        <w:rPr>
          <w:sz w:val="28"/>
          <w:szCs w:val="28"/>
        </w:rPr>
        <w:t xml:space="preserve"> года в Костромской области зарегистрировано </w:t>
      </w:r>
      <w:r w:rsidR="00627795">
        <w:rPr>
          <w:sz w:val="28"/>
          <w:szCs w:val="28"/>
        </w:rPr>
        <w:t>87</w:t>
      </w:r>
      <w:r w:rsidRPr="00B769CF">
        <w:rPr>
          <w:sz w:val="28"/>
          <w:szCs w:val="28"/>
        </w:rPr>
        <w:t xml:space="preserve"> случа</w:t>
      </w:r>
      <w:r w:rsidR="00C03298">
        <w:rPr>
          <w:sz w:val="28"/>
          <w:szCs w:val="28"/>
        </w:rPr>
        <w:t>ев</w:t>
      </w:r>
      <w:r w:rsidRPr="00B769CF">
        <w:rPr>
          <w:sz w:val="28"/>
          <w:szCs w:val="28"/>
        </w:rPr>
        <w:t xml:space="preserve"> острых отравлений химической этиологии (далее ООХЭ), показатель составил </w:t>
      </w:r>
      <w:r w:rsidR="00627795">
        <w:rPr>
          <w:sz w:val="28"/>
          <w:szCs w:val="28"/>
        </w:rPr>
        <w:t>13,4</w:t>
      </w:r>
      <w:r w:rsidRPr="00B769CF">
        <w:rPr>
          <w:sz w:val="28"/>
          <w:szCs w:val="28"/>
        </w:rPr>
        <w:t xml:space="preserve"> на 100 тыс</w:t>
      </w:r>
      <w:r w:rsidR="00FA0CC2" w:rsidRPr="00B769CF">
        <w:rPr>
          <w:sz w:val="28"/>
          <w:szCs w:val="28"/>
        </w:rPr>
        <w:t>яч</w:t>
      </w:r>
      <w:r w:rsidRPr="00B769CF">
        <w:rPr>
          <w:sz w:val="28"/>
          <w:szCs w:val="28"/>
        </w:rPr>
        <w:t xml:space="preserve"> населени</w:t>
      </w:r>
      <w:proofErr w:type="gramStart"/>
      <w:r w:rsidRPr="00B769CF">
        <w:rPr>
          <w:sz w:val="28"/>
          <w:szCs w:val="28"/>
        </w:rPr>
        <w:t>я(</w:t>
      </w:r>
      <w:proofErr w:type="gramEnd"/>
      <w:r w:rsidRPr="00B769CF">
        <w:rPr>
          <w:sz w:val="28"/>
          <w:szCs w:val="28"/>
        </w:rPr>
        <w:t>табл. №</w:t>
      </w:r>
      <w:r w:rsidR="00B769CF" w:rsidRPr="00B769CF">
        <w:rPr>
          <w:sz w:val="28"/>
          <w:szCs w:val="28"/>
        </w:rPr>
        <w:t xml:space="preserve"> </w:t>
      </w:r>
      <w:r w:rsidRPr="00B769CF">
        <w:rPr>
          <w:sz w:val="28"/>
          <w:szCs w:val="28"/>
        </w:rPr>
        <w:t>1, рис. №</w:t>
      </w:r>
      <w:r w:rsidR="00B769CF" w:rsidRPr="00B769CF">
        <w:rPr>
          <w:sz w:val="28"/>
          <w:szCs w:val="28"/>
        </w:rPr>
        <w:t xml:space="preserve"> </w:t>
      </w:r>
      <w:r w:rsidRPr="00B769CF">
        <w:rPr>
          <w:sz w:val="28"/>
          <w:szCs w:val="28"/>
        </w:rPr>
        <w:t>1).</w:t>
      </w:r>
    </w:p>
    <w:p w:rsidR="004106A8" w:rsidRPr="00B769CF" w:rsidRDefault="004106A8" w:rsidP="004106A8">
      <w:pPr>
        <w:ind w:firstLine="709"/>
        <w:jc w:val="both"/>
        <w:rPr>
          <w:sz w:val="28"/>
          <w:szCs w:val="28"/>
        </w:rPr>
      </w:pPr>
      <w:r w:rsidRPr="00B769CF">
        <w:rPr>
          <w:sz w:val="28"/>
          <w:szCs w:val="28"/>
        </w:rPr>
        <w:t xml:space="preserve">Из общего числа зарегистрированных острых токсических отравлений </w:t>
      </w:r>
      <w:r w:rsidR="00627795">
        <w:rPr>
          <w:sz w:val="28"/>
          <w:szCs w:val="28"/>
        </w:rPr>
        <w:t>41</w:t>
      </w:r>
      <w:r w:rsidRPr="00B769CF">
        <w:rPr>
          <w:sz w:val="28"/>
          <w:szCs w:val="28"/>
        </w:rPr>
        <w:t xml:space="preserve"> случа</w:t>
      </w:r>
      <w:r w:rsidR="00627795">
        <w:rPr>
          <w:sz w:val="28"/>
          <w:szCs w:val="28"/>
        </w:rPr>
        <w:t>й</w:t>
      </w:r>
      <w:r w:rsidRPr="00B769CF">
        <w:rPr>
          <w:sz w:val="28"/>
          <w:szCs w:val="28"/>
        </w:rPr>
        <w:t xml:space="preserve"> закончил</w:t>
      </w:r>
      <w:r w:rsidR="00B769CF" w:rsidRPr="00B769CF">
        <w:rPr>
          <w:sz w:val="28"/>
          <w:szCs w:val="28"/>
        </w:rPr>
        <w:t>ись</w:t>
      </w:r>
      <w:r w:rsidRPr="00B769CF">
        <w:rPr>
          <w:sz w:val="28"/>
          <w:szCs w:val="28"/>
        </w:rPr>
        <w:t xml:space="preserve"> летальным исходом или </w:t>
      </w:r>
      <w:r w:rsidR="00627795">
        <w:rPr>
          <w:sz w:val="28"/>
          <w:szCs w:val="28"/>
        </w:rPr>
        <w:t>47</w:t>
      </w:r>
      <w:r w:rsidRPr="00B769CF">
        <w:rPr>
          <w:sz w:val="28"/>
          <w:szCs w:val="28"/>
        </w:rPr>
        <w:t>% от числа пострадавших (</w:t>
      </w:r>
      <w:r w:rsidR="00054683">
        <w:rPr>
          <w:sz w:val="28"/>
          <w:szCs w:val="28"/>
        </w:rPr>
        <w:t>3</w:t>
      </w:r>
      <w:r w:rsidR="00B769CF" w:rsidRPr="00B769CF">
        <w:rPr>
          <w:sz w:val="28"/>
          <w:szCs w:val="28"/>
        </w:rPr>
        <w:t xml:space="preserve"> </w:t>
      </w:r>
      <w:r w:rsidRPr="00B769CF">
        <w:rPr>
          <w:sz w:val="28"/>
          <w:szCs w:val="28"/>
        </w:rPr>
        <w:t>кв. 201</w:t>
      </w:r>
      <w:r w:rsidR="00054683">
        <w:rPr>
          <w:sz w:val="28"/>
          <w:szCs w:val="28"/>
        </w:rPr>
        <w:t>6</w:t>
      </w:r>
      <w:r w:rsidRPr="00B769CF">
        <w:rPr>
          <w:sz w:val="28"/>
          <w:szCs w:val="28"/>
        </w:rPr>
        <w:t xml:space="preserve">г. – </w:t>
      </w:r>
      <w:r w:rsidR="00054683">
        <w:rPr>
          <w:sz w:val="28"/>
          <w:szCs w:val="28"/>
        </w:rPr>
        <w:t>49,1</w:t>
      </w:r>
      <w:r w:rsidRPr="00B769CF">
        <w:rPr>
          <w:sz w:val="28"/>
          <w:szCs w:val="28"/>
        </w:rPr>
        <w:t>%</w:t>
      </w:r>
      <w:r w:rsidR="00B769CF" w:rsidRPr="00B769CF">
        <w:rPr>
          <w:sz w:val="28"/>
          <w:szCs w:val="28"/>
        </w:rPr>
        <w:t>).</w:t>
      </w:r>
    </w:p>
    <w:p w:rsidR="004106A8" w:rsidRPr="00B769CF" w:rsidRDefault="004106A8" w:rsidP="004106A8">
      <w:pPr>
        <w:ind w:firstLine="709"/>
        <w:jc w:val="both"/>
        <w:rPr>
          <w:sz w:val="28"/>
          <w:szCs w:val="28"/>
        </w:rPr>
      </w:pPr>
    </w:p>
    <w:p w:rsidR="004106A8" w:rsidRPr="00FA0CC2" w:rsidRDefault="004106A8" w:rsidP="004106A8">
      <w:pPr>
        <w:ind w:firstLine="709"/>
        <w:jc w:val="right"/>
      </w:pPr>
      <w:r w:rsidRPr="00FA0CC2">
        <w:t>Таблица №1</w:t>
      </w:r>
    </w:p>
    <w:p w:rsidR="004106A8" w:rsidRPr="00FA0CC2" w:rsidRDefault="004106A8" w:rsidP="004106A8">
      <w:pPr>
        <w:autoSpaceDE w:val="0"/>
        <w:autoSpaceDN w:val="0"/>
        <w:adjustRightInd w:val="0"/>
        <w:ind w:firstLine="569"/>
        <w:jc w:val="center"/>
        <w:rPr>
          <w:b/>
          <w:bCs/>
          <w:sz w:val="22"/>
          <w:szCs w:val="22"/>
        </w:rPr>
      </w:pPr>
      <w:r w:rsidRPr="00FA0CC2">
        <w:rPr>
          <w:b/>
          <w:bCs/>
          <w:sz w:val="22"/>
          <w:szCs w:val="22"/>
        </w:rPr>
        <w:t xml:space="preserve">Показатели острых отравлений химической этиологии </w:t>
      </w:r>
    </w:p>
    <w:p w:rsidR="004106A8" w:rsidRPr="00FA0CC2" w:rsidRDefault="004106A8" w:rsidP="004106A8">
      <w:pPr>
        <w:ind w:firstLine="709"/>
        <w:jc w:val="center"/>
        <w:rPr>
          <w:b/>
          <w:sz w:val="22"/>
          <w:szCs w:val="22"/>
        </w:rPr>
      </w:pPr>
      <w:r w:rsidRPr="00FA0CC2">
        <w:rPr>
          <w:b/>
          <w:bCs/>
          <w:sz w:val="22"/>
          <w:szCs w:val="22"/>
        </w:rPr>
        <w:t>населения Костромской области</w:t>
      </w:r>
      <w:r w:rsidRPr="00FA0CC2">
        <w:rPr>
          <w:b/>
          <w:sz w:val="22"/>
          <w:szCs w:val="22"/>
        </w:rPr>
        <w:t xml:space="preserve"> за </w:t>
      </w:r>
      <w:r w:rsidR="00054683">
        <w:rPr>
          <w:b/>
          <w:sz w:val="22"/>
          <w:szCs w:val="22"/>
        </w:rPr>
        <w:t>3</w:t>
      </w:r>
      <w:r w:rsidR="00FA0CC2" w:rsidRPr="00FA0CC2">
        <w:rPr>
          <w:b/>
          <w:sz w:val="22"/>
          <w:szCs w:val="22"/>
        </w:rPr>
        <w:t xml:space="preserve"> </w:t>
      </w:r>
      <w:r w:rsidRPr="00FA0CC2">
        <w:rPr>
          <w:b/>
          <w:sz w:val="22"/>
          <w:szCs w:val="22"/>
        </w:rPr>
        <w:t>квартал 201</w:t>
      </w:r>
      <w:r w:rsidR="00054683">
        <w:rPr>
          <w:b/>
          <w:sz w:val="22"/>
          <w:szCs w:val="22"/>
        </w:rPr>
        <w:t>4</w:t>
      </w:r>
      <w:r w:rsidRPr="00FA0CC2">
        <w:rPr>
          <w:b/>
          <w:sz w:val="22"/>
          <w:szCs w:val="22"/>
        </w:rPr>
        <w:t>-201</w:t>
      </w:r>
      <w:r w:rsidR="00054683">
        <w:rPr>
          <w:b/>
          <w:sz w:val="22"/>
          <w:szCs w:val="22"/>
        </w:rPr>
        <w:t>7</w:t>
      </w:r>
      <w:r w:rsidRPr="00FA0CC2">
        <w:rPr>
          <w:b/>
          <w:sz w:val="22"/>
          <w:szCs w:val="22"/>
        </w:rPr>
        <w:t xml:space="preserve"> г.г.</w:t>
      </w:r>
    </w:p>
    <w:p w:rsidR="004106A8" w:rsidRPr="00FA0CC2" w:rsidRDefault="004106A8" w:rsidP="004106A8">
      <w:pPr>
        <w:ind w:firstLine="709"/>
        <w:jc w:val="center"/>
        <w:rPr>
          <w:b/>
          <w:sz w:val="22"/>
          <w:szCs w:val="22"/>
        </w:rPr>
      </w:pPr>
      <w:r w:rsidRPr="00FA0CC2">
        <w:rPr>
          <w:b/>
          <w:sz w:val="22"/>
          <w:szCs w:val="22"/>
        </w:rPr>
        <w:t>(на 100 тысяч населения)</w:t>
      </w:r>
    </w:p>
    <w:p w:rsidR="004106A8" w:rsidRPr="00FA0CC2" w:rsidRDefault="004106A8" w:rsidP="004106A8">
      <w:pPr>
        <w:autoSpaceDE w:val="0"/>
        <w:autoSpaceDN w:val="0"/>
        <w:adjustRightInd w:val="0"/>
        <w:ind w:firstLine="569"/>
        <w:jc w:val="center"/>
        <w:rPr>
          <w:b/>
          <w:bCs/>
          <w:sz w:val="22"/>
          <w:szCs w:val="22"/>
        </w:rPr>
      </w:pP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95"/>
        <w:gridCol w:w="2693"/>
        <w:gridCol w:w="2410"/>
        <w:gridCol w:w="2551"/>
        <w:gridCol w:w="2552"/>
      </w:tblGrid>
      <w:tr w:rsidR="005E2B9E" w:rsidRPr="00FA0CC2" w:rsidTr="00034507">
        <w:tc>
          <w:tcPr>
            <w:tcW w:w="4395" w:type="dxa"/>
          </w:tcPr>
          <w:p w:rsidR="005E2B9E" w:rsidRPr="00B769CF" w:rsidRDefault="005E2B9E" w:rsidP="00E40081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5E2B9E" w:rsidRPr="005E2B9E" w:rsidRDefault="00054683" w:rsidP="004C54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769CF">
              <w:rPr>
                <w:sz w:val="22"/>
                <w:szCs w:val="22"/>
              </w:rPr>
              <w:t xml:space="preserve"> </w:t>
            </w:r>
            <w:r w:rsidR="005E2B9E" w:rsidRPr="005E2B9E">
              <w:rPr>
                <w:sz w:val="22"/>
                <w:szCs w:val="22"/>
              </w:rPr>
              <w:t>кв. 201</w:t>
            </w:r>
            <w:r>
              <w:rPr>
                <w:sz w:val="22"/>
                <w:szCs w:val="22"/>
              </w:rPr>
              <w:t>4</w:t>
            </w:r>
            <w:r w:rsidR="004C541F">
              <w:rPr>
                <w:sz w:val="22"/>
                <w:szCs w:val="22"/>
              </w:rPr>
              <w:t xml:space="preserve"> </w:t>
            </w:r>
            <w:r w:rsidR="005E2B9E" w:rsidRPr="005E2B9E">
              <w:rPr>
                <w:sz w:val="22"/>
                <w:szCs w:val="22"/>
              </w:rPr>
              <w:t>г</w:t>
            </w:r>
            <w:r w:rsidR="004C541F">
              <w:rPr>
                <w:sz w:val="22"/>
                <w:szCs w:val="22"/>
              </w:rPr>
              <w:t>ода</w:t>
            </w:r>
          </w:p>
        </w:tc>
        <w:tc>
          <w:tcPr>
            <w:tcW w:w="2410" w:type="dxa"/>
          </w:tcPr>
          <w:p w:rsidR="005E2B9E" w:rsidRPr="005E2B9E" w:rsidRDefault="00054683" w:rsidP="004C54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769CF">
              <w:rPr>
                <w:sz w:val="22"/>
                <w:szCs w:val="22"/>
              </w:rPr>
              <w:t xml:space="preserve"> </w:t>
            </w:r>
            <w:r w:rsidR="005E2B9E" w:rsidRPr="005E2B9E">
              <w:rPr>
                <w:sz w:val="22"/>
                <w:szCs w:val="22"/>
              </w:rPr>
              <w:t>кв. 201</w:t>
            </w:r>
            <w:r>
              <w:rPr>
                <w:sz w:val="22"/>
                <w:szCs w:val="22"/>
              </w:rPr>
              <w:t>5</w:t>
            </w:r>
            <w:r w:rsidR="005E2B9E" w:rsidRPr="005E2B9E">
              <w:rPr>
                <w:sz w:val="22"/>
                <w:szCs w:val="22"/>
              </w:rPr>
              <w:t>г</w:t>
            </w:r>
            <w:r w:rsidR="004C541F">
              <w:rPr>
                <w:sz w:val="22"/>
                <w:szCs w:val="22"/>
              </w:rPr>
              <w:t>ода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E2B9E" w:rsidRPr="00FA0CC2" w:rsidRDefault="00054683" w:rsidP="004C54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769CF">
              <w:rPr>
                <w:sz w:val="22"/>
                <w:szCs w:val="22"/>
              </w:rPr>
              <w:t xml:space="preserve"> </w:t>
            </w:r>
            <w:r w:rsidR="005E2B9E" w:rsidRPr="00FA0CC2">
              <w:rPr>
                <w:sz w:val="22"/>
                <w:szCs w:val="22"/>
              </w:rPr>
              <w:t>кв. 201</w:t>
            </w:r>
            <w:r>
              <w:rPr>
                <w:sz w:val="22"/>
                <w:szCs w:val="22"/>
              </w:rPr>
              <w:t>6</w:t>
            </w:r>
            <w:r w:rsidR="004C541F">
              <w:rPr>
                <w:sz w:val="22"/>
                <w:szCs w:val="22"/>
              </w:rPr>
              <w:t xml:space="preserve"> </w:t>
            </w:r>
            <w:r w:rsidR="005E2B9E" w:rsidRPr="00FA0CC2">
              <w:rPr>
                <w:sz w:val="22"/>
                <w:szCs w:val="22"/>
              </w:rPr>
              <w:t>г</w:t>
            </w:r>
            <w:r w:rsidR="004C541F">
              <w:rPr>
                <w:sz w:val="22"/>
                <w:szCs w:val="22"/>
              </w:rPr>
              <w:t>ода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E2B9E" w:rsidRPr="00FA0CC2" w:rsidRDefault="00054683" w:rsidP="004C54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769CF">
              <w:rPr>
                <w:sz w:val="22"/>
                <w:szCs w:val="22"/>
              </w:rPr>
              <w:t xml:space="preserve"> </w:t>
            </w:r>
            <w:r w:rsidR="005E2B9E" w:rsidRPr="00FA0CC2">
              <w:rPr>
                <w:sz w:val="22"/>
                <w:szCs w:val="22"/>
              </w:rPr>
              <w:t>кв. 201</w:t>
            </w:r>
            <w:r>
              <w:rPr>
                <w:sz w:val="22"/>
                <w:szCs w:val="22"/>
              </w:rPr>
              <w:t>7</w:t>
            </w:r>
            <w:r w:rsidR="004C541F">
              <w:rPr>
                <w:sz w:val="22"/>
                <w:szCs w:val="22"/>
              </w:rPr>
              <w:t xml:space="preserve"> </w:t>
            </w:r>
            <w:r w:rsidR="005E2B9E" w:rsidRPr="00FA0CC2">
              <w:rPr>
                <w:sz w:val="22"/>
                <w:szCs w:val="22"/>
              </w:rPr>
              <w:t>г</w:t>
            </w:r>
            <w:r w:rsidR="004C541F">
              <w:rPr>
                <w:sz w:val="22"/>
                <w:szCs w:val="22"/>
              </w:rPr>
              <w:t>ода</w:t>
            </w:r>
          </w:p>
        </w:tc>
      </w:tr>
      <w:tr w:rsidR="005E2B9E" w:rsidRPr="00FA0CC2" w:rsidTr="00034507">
        <w:trPr>
          <w:trHeight w:val="250"/>
        </w:trPr>
        <w:tc>
          <w:tcPr>
            <w:tcW w:w="4395" w:type="dxa"/>
          </w:tcPr>
          <w:p w:rsidR="005E2B9E" w:rsidRPr="00B769CF" w:rsidRDefault="005E2B9E" w:rsidP="00E4008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B769CF">
              <w:rPr>
                <w:sz w:val="22"/>
                <w:szCs w:val="22"/>
              </w:rPr>
              <w:t>Острые отравления химической этиологии</w:t>
            </w:r>
          </w:p>
        </w:tc>
        <w:tc>
          <w:tcPr>
            <w:tcW w:w="2693" w:type="dxa"/>
          </w:tcPr>
          <w:p w:rsidR="005E2B9E" w:rsidRPr="00FA0CC2" w:rsidRDefault="00222494" w:rsidP="00FA0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2410" w:type="dxa"/>
          </w:tcPr>
          <w:p w:rsidR="005E2B9E" w:rsidRPr="00FA0CC2" w:rsidRDefault="00222494" w:rsidP="005E2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E2B9E" w:rsidRPr="00FA0CC2" w:rsidRDefault="00222494" w:rsidP="005E2B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16,3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E2B9E" w:rsidRPr="00FA0CC2" w:rsidRDefault="00222494" w:rsidP="00E4008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13,4</w:t>
            </w:r>
          </w:p>
        </w:tc>
      </w:tr>
      <w:tr w:rsidR="005E2B9E" w:rsidRPr="00FA0CC2" w:rsidTr="00034507">
        <w:tc>
          <w:tcPr>
            <w:tcW w:w="4395" w:type="dxa"/>
          </w:tcPr>
          <w:p w:rsidR="005E2B9E" w:rsidRPr="00FA0CC2" w:rsidRDefault="005E2B9E" w:rsidP="00E4008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FA0CC2">
              <w:rPr>
                <w:bCs/>
                <w:sz w:val="22"/>
                <w:szCs w:val="22"/>
              </w:rPr>
              <w:t>из них с летальным исходом</w:t>
            </w:r>
          </w:p>
        </w:tc>
        <w:tc>
          <w:tcPr>
            <w:tcW w:w="2693" w:type="dxa"/>
          </w:tcPr>
          <w:p w:rsidR="005E2B9E" w:rsidRPr="00FA0CC2" w:rsidRDefault="00222494" w:rsidP="00FA0CC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7,9</w:t>
            </w:r>
          </w:p>
        </w:tc>
        <w:tc>
          <w:tcPr>
            <w:tcW w:w="2410" w:type="dxa"/>
          </w:tcPr>
          <w:p w:rsidR="005E2B9E" w:rsidRPr="00FA0CC2" w:rsidRDefault="00222494" w:rsidP="00E4008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5,8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E2B9E" w:rsidRPr="00FA0CC2" w:rsidRDefault="00222494" w:rsidP="005E2B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E2B9E" w:rsidRPr="00FA0CC2" w:rsidRDefault="00222494" w:rsidP="00E4008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6,3</w:t>
            </w:r>
          </w:p>
        </w:tc>
      </w:tr>
    </w:tbl>
    <w:p w:rsidR="004106A8" w:rsidRDefault="004106A8" w:rsidP="004106A8">
      <w:pPr>
        <w:ind w:firstLine="709"/>
        <w:jc w:val="right"/>
      </w:pPr>
    </w:p>
    <w:p w:rsidR="00550E2C" w:rsidRPr="00FA0CC2" w:rsidRDefault="00550E2C" w:rsidP="00550E2C">
      <w:pPr>
        <w:ind w:firstLine="709"/>
        <w:jc w:val="center"/>
      </w:pPr>
      <w:r w:rsidRPr="00550E2C">
        <w:rPr>
          <w:noProof/>
        </w:rPr>
        <w:lastRenderedPageBreak/>
        <w:drawing>
          <wp:inline distT="0" distB="0" distL="0" distR="0">
            <wp:extent cx="7696200" cy="3657600"/>
            <wp:effectExtent l="19050" t="0" r="19050" b="0"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D4C33" w:rsidRDefault="001D4C33" w:rsidP="004106A8">
      <w:pPr>
        <w:ind w:firstLine="709"/>
        <w:jc w:val="center"/>
        <w:rPr>
          <w:sz w:val="22"/>
          <w:szCs w:val="22"/>
        </w:rPr>
      </w:pPr>
    </w:p>
    <w:p w:rsidR="004106A8" w:rsidRPr="00B769CF" w:rsidRDefault="004106A8" w:rsidP="004106A8">
      <w:pPr>
        <w:ind w:firstLine="709"/>
        <w:jc w:val="center"/>
        <w:rPr>
          <w:sz w:val="22"/>
          <w:szCs w:val="22"/>
        </w:rPr>
      </w:pPr>
      <w:r w:rsidRPr="00DE373A">
        <w:rPr>
          <w:sz w:val="22"/>
          <w:szCs w:val="22"/>
        </w:rPr>
        <w:t>Рис. 1 Динамика</w:t>
      </w:r>
      <w:r w:rsidRPr="00B769CF">
        <w:rPr>
          <w:sz w:val="22"/>
          <w:szCs w:val="22"/>
        </w:rPr>
        <w:t xml:space="preserve"> острых отравлений химической этиологии по Костромской области</w:t>
      </w:r>
    </w:p>
    <w:p w:rsidR="00117FFA" w:rsidRPr="00034507" w:rsidRDefault="004106A8" w:rsidP="00034507">
      <w:pPr>
        <w:ind w:firstLine="709"/>
        <w:jc w:val="center"/>
        <w:rPr>
          <w:sz w:val="22"/>
          <w:szCs w:val="22"/>
        </w:rPr>
      </w:pPr>
      <w:r w:rsidRPr="00B769CF">
        <w:rPr>
          <w:sz w:val="22"/>
          <w:szCs w:val="22"/>
        </w:rPr>
        <w:t>(на 100 тыс. населения)</w:t>
      </w:r>
    </w:p>
    <w:p w:rsidR="00117FFA" w:rsidRDefault="00117FFA" w:rsidP="004106A8">
      <w:pPr>
        <w:ind w:firstLine="709"/>
        <w:jc w:val="right"/>
      </w:pPr>
    </w:p>
    <w:p w:rsidR="004106A8" w:rsidRPr="00B769CF" w:rsidRDefault="004106A8" w:rsidP="004106A8">
      <w:pPr>
        <w:ind w:firstLine="709"/>
        <w:jc w:val="right"/>
      </w:pPr>
      <w:r w:rsidRPr="00B769CF">
        <w:t>Таблица №2</w:t>
      </w:r>
    </w:p>
    <w:p w:rsidR="004106A8" w:rsidRPr="00B769CF" w:rsidRDefault="004106A8" w:rsidP="004106A8">
      <w:pPr>
        <w:ind w:firstLine="709"/>
        <w:jc w:val="center"/>
        <w:rPr>
          <w:b/>
          <w:sz w:val="22"/>
          <w:szCs w:val="22"/>
        </w:rPr>
      </w:pPr>
      <w:r w:rsidRPr="00B769CF">
        <w:rPr>
          <w:b/>
          <w:sz w:val="22"/>
          <w:szCs w:val="22"/>
        </w:rPr>
        <w:t xml:space="preserve">Структура острых отравлений химической этиологии по их видам </w:t>
      </w:r>
    </w:p>
    <w:p w:rsidR="004106A8" w:rsidRPr="00B769CF" w:rsidRDefault="004106A8" w:rsidP="004106A8">
      <w:pPr>
        <w:ind w:firstLine="709"/>
        <w:jc w:val="center"/>
        <w:rPr>
          <w:b/>
          <w:sz w:val="22"/>
          <w:szCs w:val="22"/>
        </w:rPr>
      </w:pPr>
      <w:r w:rsidRPr="00B769CF">
        <w:rPr>
          <w:b/>
          <w:sz w:val="22"/>
          <w:szCs w:val="22"/>
        </w:rPr>
        <w:t xml:space="preserve">за </w:t>
      </w:r>
      <w:r w:rsidR="00117FFA">
        <w:rPr>
          <w:b/>
          <w:sz w:val="22"/>
          <w:szCs w:val="22"/>
        </w:rPr>
        <w:t>3</w:t>
      </w:r>
      <w:r w:rsidR="00B769CF" w:rsidRPr="00B769CF">
        <w:rPr>
          <w:b/>
          <w:sz w:val="22"/>
          <w:szCs w:val="22"/>
        </w:rPr>
        <w:t xml:space="preserve"> </w:t>
      </w:r>
      <w:r w:rsidRPr="00B769CF">
        <w:rPr>
          <w:b/>
          <w:sz w:val="22"/>
          <w:szCs w:val="22"/>
        </w:rPr>
        <w:t>квартал 201</w:t>
      </w:r>
      <w:r w:rsidR="00117FFA">
        <w:rPr>
          <w:b/>
          <w:sz w:val="22"/>
          <w:szCs w:val="22"/>
        </w:rPr>
        <w:t>4</w:t>
      </w:r>
      <w:r w:rsidRPr="00B769CF">
        <w:rPr>
          <w:b/>
          <w:sz w:val="22"/>
          <w:szCs w:val="22"/>
        </w:rPr>
        <w:t>-201</w:t>
      </w:r>
      <w:r w:rsidR="00117FFA">
        <w:rPr>
          <w:b/>
          <w:sz w:val="22"/>
          <w:szCs w:val="22"/>
        </w:rPr>
        <w:t>7</w:t>
      </w:r>
      <w:r w:rsidRPr="00B769CF">
        <w:rPr>
          <w:b/>
          <w:sz w:val="22"/>
          <w:szCs w:val="22"/>
        </w:rPr>
        <w:t xml:space="preserve"> г.г</w:t>
      </w:r>
      <w:proofErr w:type="gramStart"/>
      <w:r w:rsidRPr="00B769CF">
        <w:rPr>
          <w:b/>
          <w:sz w:val="22"/>
          <w:szCs w:val="22"/>
        </w:rPr>
        <w:t>. (%)</w:t>
      </w:r>
      <w:proofErr w:type="gramEnd"/>
    </w:p>
    <w:p w:rsidR="004106A8" w:rsidRPr="00B769CF" w:rsidRDefault="004106A8" w:rsidP="004106A8">
      <w:pPr>
        <w:ind w:firstLine="709"/>
        <w:jc w:val="center"/>
        <w:rPr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96"/>
        <w:gridCol w:w="2268"/>
        <w:gridCol w:w="2126"/>
        <w:gridCol w:w="2126"/>
        <w:gridCol w:w="2127"/>
      </w:tblGrid>
      <w:tr w:rsidR="00B769CF" w:rsidRPr="00B769CF" w:rsidTr="00034507">
        <w:tc>
          <w:tcPr>
            <w:tcW w:w="6096" w:type="dxa"/>
          </w:tcPr>
          <w:p w:rsidR="00B769CF" w:rsidRPr="00B769CF" w:rsidRDefault="00B769CF" w:rsidP="00E4008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769CF" w:rsidRPr="00B769CF" w:rsidRDefault="00117FFA" w:rsidP="00117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769CF" w:rsidRPr="00B769CF">
              <w:rPr>
                <w:sz w:val="22"/>
                <w:szCs w:val="22"/>
              </w:rPr>
              <w:t>кв. 201</w:t>
            </w:r>
            <w:r>
              <w:rPr>
                <w:sz w:val="22"/>
                <w:szCs w:val="22"/>
              </w:rPr>
              <w:t>4</w:t>
            </w:r>
            <w:r w:rsidR="004C541F">
              <w:rPr>
                <w:sz w:val="22"/>
                <w:szCs w:val="22"/>
              </w:rPr>
              <w:t xml:space="preserve"> </w:t>
            </w:r>
            <w:r w:rsidR="00B769CF" w:rsidRPr="00B769CF">
              <w:rPr>
                <w:sz w:val="22"/>
                <w:szCs w:val="22"/>
              </w:rPr>
              <w:t>г</w:t>
            </w:r>
            <w:r w:rsidR="004C541F">
              <w:rPr>
                <w:sz w:val="22"/>
                <w:szCs w:val="22"/>
              </w:rPr>
              <w:t>ода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769CF" w:rsidRPr="00B769CF" w:rsidRDefault="00117FFA" w:rsidP="00117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769CF" w:rsidRPr="00B769CF">
              <w:rPr>
                <w:sz w:val="22"/>
                <w:szCs w:val="22"/>
              </w:rPr>
              <w:t>кв. 201</w:t>
            </w:r>
            <w:r>
              <w:rPr>
                <w:sz w:val="22"/>
                <w:szCs w:val="22"/>
              </w:rPr>
              <w:t>5</w:t>
            </w:r>
            <w:r w:rsidR="004C541F" w:rsidRPr="00B769CF">
              <w:rPr>
                <w:sz w:val="22"/>
                <w:szCs w:val="22"/>
              </w:rPr>
              <w:t xml:space="preserve"> г</w:t>
            </w:r>
            <w:r w:rsidR="004C541F">
              <w:rPr>
                <w:sz w:val="22"/>
                <w:szCs w:val="22"/>
              </w:rPr>
              <w:t>ода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769CF" w:rsidRPr="007E41A5" w:rsidRDefault="00117FFA" w:rsidP="004C54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769CF" w:rsidRPr="007E41A5">
              <w:rPr>
                <w:sz w:val="22"/>
                <w:szCs w:val="22"/>
              </w:rPr>
              <w:t>кв. 201</w:t>
            </w:r>
            <w:r>
              <w:rPr>
                <w:sz w:val="22"/>
                <w:szCs w:val="22"/>
              </w:rPr>
              <w:t>6</w:t>
            </w:r>
            <w:r w:rsidR="004C541F" w:rsidRPr="00B769CF">
              <w:rPr>
                <w:sz w:val="22"/>
                <w:szCs w:val="22"/>
              </w:rPr>
              <w:t xml:space="preserve"> г</w:t>
            </w:r>
            <w:r w:rsidR="004C541F">
              <w:rPr>
                <w:sz w:val="22"/>
                <w:szCs w:val="22"/>
              </w:rPr>
              <w:t>ода</w:t>
            </w:r>
            <w:r w:rsidR="004C541F" w:rsidRPr="007E41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769CF" w:rsidRPr="00B769CF" w:rsidRDefault="00117FFA" w:rsidP="004C54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769CF" w:rsidRPr="00B769CF">
              <w:rPr>
                <w:sz w:val="22"/>
                <w:szCs w:val="22"/>
              </w:rPr>
              <w:t>кв. 201</w:t>
            </w:r>
            <w:r>
              <w:rPr>
                <w:sz w:val="22"/>
                <w:szCs w:val="22"/>
              </w:rPr>
              <w:t>7</w:t>
            </w:r>
            <w:r w:rsidR="004C541F" w:rsidRPr="00B769CF">
              <w:rPr>
                <w:sz w:val="22"/>
                <w:szCs w:val="22"/>
              </w:rPr>
              <w:t xml:space="preserve"> г</w:t>
            </w:r>
            <w:r w:rsidR="004C541F">
              <w:rPr>
                <w:sz w:val="22"/>
                <w:szCs w:val="22"/>
              </w:rPr>
              <w:t>ода</w:t>
            </w:r>
            <w:r w:rsidR="004C541F" w:rsidRPr="00B769CF">
              <w:rPr>
                <w:sz w:val="22"/>
                <w:szCs w:val="22"/>
              </w:rPr>
              <w:t xml:space="preserve"> </w:t>
            </w:r>
          </w:p>
        </w:tc>
      </w:tr>
      <w:tr w:rsidR="00B769CF" w:rsidRPr="00B769CF" w:rsidTr="00034507">
        <w:tc>
          <w:tcPr>
            <w:tcW w:w="6096" w:type="dxa"/>
          </w:tcPr>
          <w:p w:rsidR="00B769CF" w:rsidRPr="00B769CF" w:rsidRDefault="00B769CF" w:rsidP="00E40081">
            <w:pPr>
              <w:rPr>
                <w:sz w:val="22"/>
                <w:szCs w:val="22"/>
              </w:rPr>
            </w:pPr>
            <w:r w:rsidRPr="00B769CF">
              <w:rPr>
                <w:sz w:val="22"/>
                <w:szCs w:val="22"/>
              </w:rPr>
              <w:t>Отравления спиртосодержащей продукцией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41A5" w:rsidRPr="00B769CF" w:rsidRDefault="00FB2465" w:rsidP="007E41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769CF" w:rsidRPr="00B769CF" w:rsidRDefault="00FB2465" w:rsidP="00E40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769CF" w:rsidRPr="00B769CF" w:rsidRDefault="00FB2465" w:rsidP="00B76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769CF" w:rsidRPr="00B769CF" w:rsidRDefault="00FB2465" w:rsidP="00E40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50,6</w:t>
            </w:r>
          </w:p>
        </w:tc>
      </w:tr>
      <w:tr w:rsidR="00B769CF" w:rsidRPr="00B769CF" w:rsidTr="00034507">
        <w:tc>
          <w:tcPr>
            <w:tcW w:w="6096" w:type="dxa"/>
          </w:tcPr>
          <w:p w:rsidR="00B769CF" w:rsidRPr="00B769CF" w:rsidRDefault="00B769CF" w:rsidP="00E40081">
            <w:pPr>
              <w:rPr>
                <w:sz w:val="22"/>
                <w:szCs w:val="22"/>
              </w:rPr>
            </w:pPr>
            <w:r w:rsidRPr="00B769CF">
              <w:rPr>
                <w:sz w:val="22"/>
                <w:szCs w:val="22"/>
              </w:rPr>
              <w:t>Отравления наркотическими веществами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769CF" w:rsidRPr="00B769CF" w:rsidRDefault="00FB2465" w:rsidP="00E40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769CF" w:rsidRPr="00B769CF" w:rsidRDefault="00FB2465" w:rsidP="00E40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769CF" w:rsidRPr="00B769CF" w:rsidRDefault="00FB2465" w:rsidP="00B76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769CF" w:rsidRPr="00B769CF" w:rsidRDefault="00FB2465" w:rsidP="00E40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</w:tr>
      <w:tr w:rsidR="00B769CF" w:rsidRPr="00B769CF" w:rsidTr="00034507">
        <w:tc>
          <w:tcPr>
            <w:tcW w:w="6096" w:type="dxa"/>
          </w:tcPr>
          <w:p w:rsidR="00B769CF" w:rsidRPr="00B769CF" w:rsidRDefault="00B769CF" w:rsidP="00E40081">
            <w:pPr>
              <w:rPr>
                <w:sz w:val="22"/>
                <w:szCs w:val="22"/>
              </w:rPr>
            </w:pPr>
            <w:r w:rsidRPr="00B769CF">
              <w:rPr>
                <w:sz w:val="22"/>
                <w:szCs w:val="22"/>
              </w:rPr>
              <w:t>Отравления лекарственными веществами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769CF" w:rsidRPr="00B769CF" w:rsidRDefault="00FB2465" w:rsidP="00E40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769CF" w:rsidRPr="00B769CF" w:rsidRDefault="00FB2465" w:rsidP="00E40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769CF" w:rsidRPr="00B769CF" w:rsidRDefault="00FB2465" w:rsidP="00B76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769CF" w:rsidRPr="00B769CF" w:rsidRDefault="00FB2465" w:rsidP="00E40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</w:tr>
      <w:tr w:rsidR="00B769CF" w:rsidRPr="00B769CF" w:rsidTr="00034507">
        <w:tc>
          <w:tcPr>
            <w:tcW w:w="6096" w:type="dxa"/>
          </w:tcPr>
          <w:p w:rsidR="00B769CF" w:rsidRPr="00B769CF" w:rsidRDefault="00B769CF" w:rsidP="00E40081">
            <w:pPr>
              <w:rPr>
                <w:sz w:val="22"/>
                <w:szCs w:val="22"/>
              </w:rPr>
            </w:pPr>
            <w:r w:rsidRPr="00B769CF">
              <w:rPr>
                <w:sz w:val="22"/>
                <w:szCs w:val="22"/>
              </w:rPr>
              <w:t>Прочие отравления (товарами бытового назначения, угарным газом, уксусной кислотой, ядом животного происхождения и др.)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769CF" w:rsidRPr="00B769CF" w:rsidRDefault="00FB2465" w:rsidP="00E40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769CF" w:rsidRPr="00B769CF" w:rsidRDefault="00FB2465" w:rsidP="00E40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769CF" w:rsidRPr="00B769CF" w:rsidRDefault="00FB2465" w:rsidP="00B76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769CF" w:rsidRPr="00B769CF" w:rsidRDefault="00FB2465" w:rsidP="00E40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25,3</w:t>
            </w:r>
          </w:p>
        </w:tc>
      </w:tr>
    </w:tbl>
    <w:p w:rsidR="004106A8" w:rsidRDefault="004106A8" w:rsidP="0055300E">
      <w:pPr>
        <w:ind w:firstLine="709"/>
        <w:jc w:val="center"/>
        <w:rPr>
          <w:sz w:val="28"/>
          <w:szCs w:val="28"/>
        </w:rPr>
      </w:pPr>
    </w:p>
    <w:p w:rsidR="0055300E" w:rsidRPr="00B769CF" w:rsidRDefault="00A206C9" w:rsidP="00A206C9">
      <w:pPr>
        <w:ind w:hanging="426"/>
        <w:jc w:val="center"/>
        <w:rPr>
          <w:sz w:val="28"/>
          <w:szCs w:val="28"/>
        </w:rPr>
      </w:pPr>
      <w:r w:rsidRPr="00A206C9">
        <w:rPr>
          <w:noProof/>
          <w:sz w:val="28"/>
          <w:szCs w:val="28"/>
        </w:rPr>
        <w:lastRenderedPageBreak/>
        <w:drawing>
          <wp:inline distT="0" distB="0" distL="0" distR="0">
            <wp:extent cx="7915275" cy="3057525"/>
            <wp:effectExtent l="57150" t="19050" r="28575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106A8" w:rsidRPr="00425FF7" w:rsidRDefault="004106A8" w:rsidP="00CE0742">
      <w:pPr>
        <w:jc w:val="center"/>
        <w:rPr>
          <w:szCs w:val="28"/>
        </w:rPr>
      </w:pPr>
    </w:p>
    <w:p w:rsidR="004106A8" w:rsidRPr="00425FF7" w:rsidRDefault="004106A8" w:rsidP="004106A8">
      <w:pPr>
        <w:ind w:firstLine="709"/>
        <w:jc w:val="center"/>
        <w:rPr>
          <w:sz w:val="22"/>
          <w:szCs w:val="22"/>
        </w:rPr>
      </w:pPr>
      <w:r w:rsidRPr="00425FF7">
        <w:rPr>
          <w:sz w:val="22"/>
          <w:szCs w:val="22"/>
        </w:rPr>
        <w:t>Рис.2 Структура острых отравлений химической этиологии по Костромской области</w:t>
      </w:r>
    </w:p>
    <w:p w:rsidR="004106A8" w:rsidRDefault="004106A8" w:rsidP="004106A8">
      <w:pPr>
        <w:jc w:val="center"/>
        <w:rPr>
          <w:sz w:val="22"/>
          <w:szCs w:val="22"/>
        </w:rPr>
      </w:pPr>
    </w:p>
    <w:p w:rsidR="00A206C9" w:rsidRPr="00425FF7" w:rsidRDefault="00A206C9" w:rsidP="004106A8">
      <w:pPr>
        <w:jc w:val="center"/>
        <w:rPr>
          <w:szCs w:val="28"/>
        </w:rPr>
      </w:pPr>
    </w:p>
    <w:p w:rsidR="004106A8" w:rsidRPr="00132C4B" w:rsidRDefault="004106A8" w:rsidP="004106A8">
      <w:pPr>
        <w:ind w:firstLine="709"/>
        <w:jc w:val="both"/>
        <w:rPr>
          <w:sz w:val="28"/>
          <w:szCs w:val="28"/>
        </w:rPr>
      </w:pPr>
      <w:r w:rsidRPr="00425FF7">
        <w:rPr>
          <w:sz w:val="28"/>
          <w:szCs w:val="28"/>
        </w:rPr>
        <w:t>В структуре ООХЭ, ведущей причиной является употребление спиртсодержащей продукции</w:t>
      </w:r>
      <w:r w:rsidR="00034507">
        <w:rPr>
          <w:iCs/>
          <w:sz w:val="28"/>
          <w:szCs w:val="28"/>
        </w:rPr>
        <w:t>. З</w:t>
      </w:r>
      <w:r w:rsidRPr="00425FF7">
        <w:rPr>
          <w:iCs/>
          <w:sz w:val="28"/>
          <w:szCs w:val="28"/>
        </w:rPr>
        <w:t xml:space="preserve">а </w:t>
      </w:r>
      <w:r w:rsidR="00A206C9">
        <w:rPr>
          <w:iCs/>
          <w:sz w:val="28"/>
          <w:szCs w:val="28"/>
        </w:rPr>
        <w:t>3</w:t>
      </w:r>
      <w:r w:rsidR="00425FF7" w:rsidRPr="00425FF7">
        <w:rPr>
          <w:iCs/>
          <w:sz w:val="28"/>
          <w:szCs w:val="28"/>
        </w:rPr>
        <w:t xml:space="preserve"> </w:t>
      </w:r>
      <w:r w:rsidRPr="00425FF7">
        <w:rPr>
          <w:iCs/>
          <w:sz w:val="28"/>
          <w:szCs w:val="28"/>
        </w:rPr>
        <w:t>квартал 201</w:t>
      </w:r>
      <w:r w:rsidR="00A206C9">
        <w:rPr>
          <w:iCs/>
          <w:sz w:val="28"/>
          <w:szCs w:val="28"/>
        </w:rPr>
        <w:t>7</w:t>
      </w:r>
      <w:r w:rsidRPr="00425FF7">
        <w:rPr>
          <w:iCs/>
          <w:sz w:val="28"/>
          <w:szCs w:val="28"/>
        </w:rPr>
        <w:t xml:space="preserve"> г</w:t>
      </w:r>
      <w:r w:rsidR="004C541F">
        <w:rPr>
          <w:iCs/>
          <w:sz w:val="28"/>
          <w:szCs w:val="28"/>
        </w:rPr>
        <w:t>ода</w:t>
      </w:r>
      <w:r w:rsidRPr="00425FF7">
        <w:rPr>
          <w:iCs/>
          <w:sz w:val="28"/>
          <w:szCs w:val="28"/>
        </w:rPr>
        <w:t xml:space="preserve"> зарегистрировано </w:t>
      </w:r>
      <w:r w:rsidR="00A206C9">
        <w:rPr>
          <w:iCs/>
          <w:sz w:val="28"/>
          <w:szCs w:val="28"/>
        </w:rPr>
        <w:t>44</w:t>
      </w:r>
      <w:r w:rsidRPr="00425FF7">
        <w:rPr>
          <w:iCs/>
          <w:sz w:val="28"/>
          <w:szCs w:val="28"/>
        </w:rPr>
        <w:t xml:space="preserve"> случа</w:t>
      </w:r>
      <w:r w:rsidR="00425FF7" w:rsidRPr="00425FF7">
        <w:rPr>
          <w:iCs/>
          <w:sz w:val="28"/>
          <w:szCs w:val="28"/>
        </w:rPr>
        <w:t>я</w:t>
      </w:r>
      <w:r w:rsidRPr="00425FF7">
        <w:rPr>
          <w:iCs/>
          <w:sz w:val="28"/>
          <w:szCs w:val="28"/>
        </w:rPr>
        <w:t xml:space="preserve">, что составило </w:t>
      </w:r>
      <w:r w:rsidR="00A206C9">
        <w:rPr>
          <w:iCs/>
          <w:sz w:val="28"/>
          <w:szCs w:val="28"/>
        </w:rPr>
        <w:t>50</w:t>
      </w:r>
      <w:r w:rsidR="00034507">
        <w:rPr>
          <w:iCs/>
          <w:sz w:val="28"/>
          <w:szCs w:val="28"/>
        </w:rPr>
        <w:t>,</w:t>
      </w:r>
      <w:r w:rsidR="00A206C9">
        <w:rPr>
          <w:iCs/>
          <w:sz w:val="28"/>
          <w:szCs w:val="28"/>
        </w:rPr>
        <w:t>6</w:t>
      </w:r>
      <w:r w:rsidR="00425FF7" w:rsidRPr="00425FF7">
        <w:rPr>
          <w:iCs/>
          <w:sz w:val="28"/>
          <w:szCs w:val="28"/>
        </w:rPr>
        <w:t>%</w:t>
      </w:r>
      <w:r w:rsidRPr="00425FF7">
        <w:rPr>
          <w:iCs/>
          <w:sz w:val="28"/>
          <w:szCs w:val="28"/>
        </w:rPr>
        <w:t>;</w:t>
      </w:r>
      <w:r w:rsidRPr="00425FF7">
        <w:rPr>
          <w:sz w:val="28"/>
          <w:szCs w:val="28"/>
        </w:rPr>
        <w:t xml:space="preserve"> на втором месте – </w:t>
      </w:r>
      <w:r w:rsidR="00425FF7" w:rsidRPr="00425FF7">
        <w:rPr>
          <w:sz w:val="28"/>
          <w:szCs w:val="28"/>
        </w:rPr>
        <w:t xml:space="preserve">отравления, обусловленные токсическим действием прочих химических веществ – </w:t>
      </w:r>
      <w:r w:rsidR="00A206C9">
        <w:rPr>
          <w:sz w:val="28"/>
          <w:szCs w:val="28"/>
        </w:rPr>
        <w:t>25,3</w:t>
      </w:r>
      <w:r w:rsidR="00425FF7" w:rsidRPr="00425FF7">
        <w:rPr>
          <w:sz w:val="28"/>
          <w:szCs w:val="28"/>
        </w:rPr>
        <w:t xml:space="preserve">%, далее следуют </w:t>
      </w:r>
      <w:r w:rsidRPr="00425FF7">
        <w:rPr>
          <w:sz w:val="28"/>
          <w:szCs w:val="28"/>
        </w:rPr>
        <w:t>отравления лекарственными препаратами</w:t>
      </w:r>
      <w:r w:rsidR="00425FF7" w:rsidRPr="00425FF7">
        <w:rPr>
          <w:sz w:val="28"/>
          <w:szCs w:val="28"/>
        </w:rPr>
        <w:t>, на их долю приходится</w:t>
      </w:r>
      <w:r w:rsidRPr="00425FF7">
        <w:rPr>
          <w:sz w:val="28"/>
          <w:szCs w:val="28"/>
        </w:rPr>
        <w:t xml:space="preserve"> </w:t>
      </w:r>
      <w:r w:rsidR="00A206C9">
        <w:rPr>
          <w:sz w:val="28"/>
          <w:szCs w:val="28"/>
        </w:rPr>
        <w:t>19,5</w:t>
      </w:r>
      <w:r w:rsidRPr="00425FF7">
        <w:rPr>
          <w:sz w:val="28"/>
          <w:szCs w:val="28"/>
        </w:rPr>
        <w:t>%</w:t>
      </w:r>
      <w:r w:rsidR="009758AF">
        <w:rPr>
          <w:sz w:val="28"/>
          <w:szCs w:val="28"/>
        </w:rPr>
        <w:t>.</w:t>
      </w:r>
      <w:r w:rsidRPr="00425FF7">
        <w:rPr>
          <w:sz w:val="28"/>
          <w:szCs w:val="28"/>
        </w:rPr>
        <w:t xml:space="preserve"> </w:t>
      </w:r>
      <w:r w:rsidRPr="00132C4B">
        <w:rPr>
          <w:sz w:val="28"/>
          <w:szCs w:val="28"/>
        </w:rPr>
        <w:t>(табл. №2, рис. №2).</w:t>
      </w:r>
    </w:p>
    <w:p w:rsidR="004106A8" w:rsidRPr="00E40081" w:rsidRDefault="004106A8" w:rsidP="004106A8">
      <w:pPr>
        <w:ind w:firstLine="709"/>
        <w:jc w:val="both"/>
        <w:rPr>
          <w:sz w:val="28"/>
          <w:szCs w:val="28"/>
        </w:rPr>
      </w:pPr>
      <w:r w:rsidRPr="00132C4B">
        <w:rPr>
          <w:sz w:val="28"/>
          <w:szCs w:val="28"/>
        </w:rPr>
        <w:t xml:space="preserve">Ведущей причиной острых отравлений среди детей от 0 до 14 лет явилось </w:t>
      </w:r>
      <w:r w:rsidR="00A206C9" w:rsidRPr="00425FF7">
        <w:rPr>
          <w:sz w:val="28"/>
          <w:szCs w:val="28"/>
        </w:rPr>
        <w:t xml:space="preserve">отравления, обусловленные токсическим действием прочих химических веществ </w:t>
      </w:r>
      <w:r w:rsidRPr="00E40081">
        <w:rPr>
          <w:sz w:val="28"/>
          <w:szCs w:val="28"/>
        </w:rPr>
        <w:t>(</w:t>
      </w:r>
      <w:r w:rsidR="00A206C9">
        <w:rPr>
          <w:sz w:val="28"/>
          <w:szCs w:val="28"/>
        </w:rPr>
        <w:t>7</w:t>
      </w:r>
      <w:r w:rsidRPr="00E40081">
        <w:rPr>
          <w:sz w:val="28"/>
          <w:szCs w:val="28"/>
        </w:rPr>
        <w:t xml:space="preserve"> случаев из </w:t>
      </w:r>
      <w:r w:rsidR="00A206C9">
        <w:rPr>
          <w:sz w:val="28"/>
          <w:szCs w:val="28"/>
        </w:rPr>
        <w:t>11</w:t>
      </w:r>
      <w:r w:rsidR="00034507">
        <w:rPr>
          <w:sz w:val="28"/>
          <w:szCs w:val="28"/>
        </w:rPr>
        <w:t>),</w:t>
      </w:r>
      <w:r w:rsidR="002A7B72">
        <w:rPr>
          <w:sz w:val="28"/>
          <w:szCs w:val="28"/>
        </w:rPr>
        <w:t xml:space="preserve"> </w:t>
      </w:r>
      <w:r w:rsidR="00A206C9">
        <w:rPr>
          <w:sz w:val="28"/>
          <w:szCs w:val="28"/>
        </w:rPr>
        <w:t>3</w:t>
      </w:r>
      <w:r w:rsidRPr="00E40081">
        <w:rPr>
          <w:sz w:val="28"/>
          <w:szCs w:val="28"/>
        </w:rPr>
        <w:t xml:space="preserve"> случа</w:t>
      </w:r>
      <w:r w:rsidR="00A206C9">
        <w:rPr>
          <w:sz w:val="28"/>
          <w:szCs w:val="28"/>
        </w:rPr>
        <w:t>я</w:t>
      </w:r>
      <w:r w:rsidRPr="00E40081">
        <w:rPr>
          <w:sz w:val="28"/>
          <w:szCs w:val="28"/>
        </w:rPr>
        <w:t xml:space="preserve"> отравления </w:t>
      </w:r>
      <w:r w:rsidR="002A7B72" w:rsidRPr="00E40081">
        <w:rPr>
          <w:sz w:val="28"/>
          <w:szCs w:val="28"/>
        </w:rPr>
        <w:t>связанн</w:t>
      </w:r>
      <w:r w:rsidR="002A7B72">
        <w:rPr>
          <w:sz w:val="28"/>
          <w:szCs w:val="28"/>
        </w:rPr>
        <w:t>ы</w:t>
      </w:r>
      <w:r w:rsidR="00A206C9">
        <w:rPr>
          <w:sz w:val="28"/>
          <w:szCs w:val="28"/>
        </w:rPr>
        <w:t>е</w:t>
      </w:r>
      <w:r w:rsidRPr="00E40081">
        <w:rPr>
          <w:sz w:val="28"/>
          <w:szCs w:val="28"/>
        </w:rPr>
        <w:t xml:space="preserve"> с употреблением </w:t>
      </w:r>
      <w:r w:rsidR="00A206C9" w:rsidRPr="00425FF7">
        <w:rPr>
          <w:sz w:val="28"/>
          <w:szCs w:val="28"/>
        </w:rPr>
        <w:t>лекарственны</w:t>
      </w:r>
      <w:r w:rsidR="00A206C9">
        <w:rPr>
          <w:sz w:val="28"/>
          <w:szCs w:val="28"/>
        </w:rPr>
        <w:t>х</w:t>
      </w:r>
      <w:r w:rsidR="00A206C9" w:rsidRPr="00425FF7">
        <w:rPr>
          <w:sz w:val="28"/>
          <w:szCs w:val="28"/>
        </w:rPr>
        <w:t xml:space="preserve"> препарат</w:t>
      </w:r>
      <w:r w:rsidR="00A206C9">
        <w:rPr>
          <w:sz w:val="28"/>
          <w:szCs w:val="28"/>
        </w:rPr>
        <w:t xml:space="preserve">ов </w:t>
      </w:r>
      <w:r w:rsidR="002A7B72">
        <w:rPr>
          <w:sz w:val="28"/>
          <w:szCs w:val="28"/>
        </w:rPr>
        <w:t xml:space="preserve">и </w:t>
      </w:r>
      <w:r w:rsidR="00A206C9">
        <w:rPr>
          <w:sz w:val="28"/>
          <w:szCs w:val="28"/>
        </w:rPr>
        <w:t>1</w:t>
      </w:r>
      <w:r w:rsidR="002A7B72">
        <w:rPr>
          <w:sz w:val="28"/>
          <w:szCs w:val="28"/>
        </w:rPr>
        <w:t xml:space="preserve"> случа</w:t>
      </w:r>
      <w:r w:rsidR="00A206C9">
        <w:rPr>
          <w:sz w:val="28"/>
          <w:szCs w:val="28"/>
        </w:rPr>
        <w:t>й</w:t>
      </w:r>
      <w:r w:rsidR="002A7B72" w:rsidRPr="002A7B72">
        <w:rPr>
          <w:sz w:val="22"/>
          <w:szCs w:val="22"/>
        </w:rPr>
        <w:t xml:space="preserve"> </w:t>
      </w:r>
      <w:r w:rsidR="002A7B72">
        <w:rPr>
          <w:sz w:val="22"/>
          <w:szCs w:val="22"/>
        </w:rPr>
        <w:t xml:space="preserve">- </w:t>
      </w:r>
      <w:r w:rsidR="00A206C9">
        <w:rPr>
          <w:sz w:val="28"/>
          <w:szCs w:val="28"/>
        </w:rPr>
        <w:t>пищевое</w:t>
      </w:r>
      <w:r w:rsidR="002A7B72" w:rsidRPr="002A7B72">
        <w:rPr>
          <w:sz w:val="28"/>
          <w:szCs w:val="28"/>
        </w:rPr>
        <w:t xml:space="preserve"> отравлени</w:t>
      </w:r>
      <w:r w:rsidR="00A206C9">
        <w:rPr>
          <w:sz w:val="28"/>
          <w:szCs w:val="28"/>
        </w:rPr>
        <w:t>е</w:t>
      </w:r>
      <w:r w:rsidR="00E40081" w:rsidRPr="00E40081">
        <w:rPr>
          <w:sz w:val="28"/>
          <w:szCs w:val="28"/>
        </w:rPr>
        <w:t>.</w:t>
      </w:r>
    </w:p>
    <w:p w:rsidR="00360262" w:rsidRDefault="005B5E28" w:rsidP="00FF77A5">
      <w:pPr>
        <w:ind w:firstLine="709"/>
        <w:jc w:val="both"/>
        <w:rPr>
          <w:sz w:val="28"/>
          <w:szCs w:val="28"/>
        </w:rPr>
      </w:pPr>
      <w:r w:rsidRPr="005B5E28">
        <w:rPr>
          <w:bCs/>
          <w:sz w:val="28"/>
          <w:szCs w:val="28"/>
        </w:rPr>
        <w:t>Видимых и</w:t>
      </w:r>
      <w:r w:rsidR="00667B7E" w:rsidRPr="005B5E28">
        <w:rPr>
          <w:bCs/>
          <w:sz w:val="28"/>
          <w:szCs w:val="28"/>
        </w:rPr>
        <w:t>зменени</w:t>
      </w:r>
      <w:r w:rsidRPr="005B5E28">
        <w:rPr>
          <w:bCs/>
          <w:sz w:val="28"/>
          <w:szCs w:val="28"/>
        </w:rPr>
        <w:t>й</w:t>
      </w:r>
      <w:r w:rsidR="00254E1B" w:rsidRPr="005B5E28">
        <w:rPr>
          <w:bCs/>
          <w:sz w:val="28"/>
          <w:szCs w:val="28"/>
        </w:rPr>
        <w:t xml:space="preserve"> </w:t>
      </w:r>
      <w:r w:rsidR="00667B7E" w:rsidRPr="005B5E28">
        <w:rPr>
          <w:bCs/>
          <w:sz w:val="28"/>
          <w:szCs w:val="28"/>
        </w:rPr>
        <w:t>в с</w:t>
      </w:r>
      <w:r w:rsidR="004106A8" w:rsidRPr="005B5E28">
        <w:rPr>
          <w:bCs/>
          <w:sz w:val="28"/>
          <w:szCs w:val="28"/>
        </w:rPr>
        <w:t>труктур</w:t>
      </w:r>
      <w:r w:rsidR="00667B7E" w:rsidRPr="005B5E28">
        <w:rPr>
          <w:bCs/>
          <w:sz w:val="28"/>
          <w:szCs w:val="28"/>
        </w:rPr>
        <w:t>е</w:t>
      </w:r>
      <w:r w:rsidR="004106A8" w:rsidRPr="005B5E28">
        <w:rPr>
          <w:bCs/>
          <w:sz w:val="28"/>
          <w:szCs w:val="28"/>
        </w:rPr>
        <w:t xml:space="preserve"> смертности населения от </w:t>
      </w:r>
      <w:r w:rsidR="004106A8" w:rsidRPr="005B5E28">
        <w:rPr>
          <w:sz w:val="28"/>
          <w:szCs w:val="28"/>
        </w:rPr>
        <w:t xml:space="preserve">острых отравлений химической этиологии по </w:t>
      </w:r>
      <w:r w:rsidR="004106A8" w:rsidRPr="005B5E28">
        <w:rPr>
          <w:bCs/>
          <w:sz w:val="28"/>
          <w:szCs w:val="28"/>
        </w:rPr>
        <w:t>основным причинам</w:t>
      </w:r>
      <w:r w:rsidR="00034507">
        <w:rPr>
          <w:bCs/>
          <w:sz w:val="28"/>
          <w:szCs w:val="28"/>
        </w:rPr>
        <w:t xml:space="preserve">, </w:t>
      </w:r>
      <w:r w:rsidR="00254E1B" w:rsidRPr="005B5E28">
        <w:rPr>
          <w:bCs/>
          <w:sz w:val="28"/>
          <w:szCs w:val="28"/>
        </w:rPr>
        <w:t>в сравнении с первым кварталом</w:t>
      </w:r>
      <w:r w:rsidR="00034507">
        <w:rPr>
          <w:bCs/>
          <w:sz w:val="28"/>
          <w:szCs w:val="28"/>
        </w:rPr>
        <w:t>,</w:t>
      </w:r>
      <w:r w:rsidR="00254E1B" w:rsidRPr="005B5E28">
        <w:rPr>
          <w:bCs/>
          <w:sz w:val="28"/>
          <w:szCs w:val="28"/>
        </w:rPr>
        <w:t xml:space="preserve"> не произошли </w:t>
      </w:r>
      <w:r w:rsidR="004106A8" w:rsidRPr="005B5E28">
        <w:rPr>
          <w:bCs/>
          <w:sz w:val="28"/>
          <w:szCs w:val="28"/>
        </w:rPr>
        <w:t xml:space="preserve">(рис. №3). На первом месте – </w:t>
      </w:r>
      <w:r w:rsidRPr="005B5E28">
        <w:rPr>
          <w:iCs/>
          <w:sz w:val="28"/>
          <w:szCs w:val="28"/>
        </w:rPr>
        <w:t>смертность, связанная с употреблением наркотических веществ</w:t>
      </w:r>
      <w:r w:rsidRPr="005B5E28">
        <w:rPr>
          <w:bCs/>
          <w:sz w:val="28"/>
          <w:szCs w:val="28"/>
        </w:rPr>
        <w:t xml:space="preserve"> </w:t>
      </w:r>
      <w:r w:rsidR="004106A8" w:rsidRPr="005B5E28">
        <w:rPr>
          <w:bCs/>
          <w:sz w:val="28"/>
          <w:szCs w:val="28"/>
        </w:rPr>
        <w:t xml:space="preserve">смертность </w:t>
      </w:r>
      <w:r w:rsidRPr="005B5E28">
        <w:rPr>
          <w:iCs/>
          <w:sz w:val="28"/>
          <w:szCs w:val="28"/>
        </w:rPr>
        <w:t>100</w:t>
      </w:r>
      <w:r w:rsidR="00667B7E" w:rsidRPr="005B5E28">
        <w:rPr>
          <w:iCs/>
          <w:sz w:val="28"/>
          <w:szCs w:val="28"/>
        </w:rPr>
        <w:t xml:space="preserve">% </w:t>
      </w:r>
      <w:r w:rsidR="004106A8" w:rsidRPr="005B5E28">
        <w:rPr>
          <w:iCs/>
          <w:sz w:val="28"/>
          <w:szCs w:val="28"/>
        </w:rPr>
        <w:t>(</w:t>
      </w:r>
      <w:r w:rsidRPr="005B5E28">
        <w:rPr>
          <w:iCs/>
          <w:sz w:val="28"/>
          <w:szCs w:val="28"/>
        </w:rPr>
        <w:t>2</w:t>
      </w:r>
      <w:r w:rsidR="004106A8" w:rsidRPr="005B5E28">
        <w:rPr>
          <w:iCs/>
          <w:sz w:val="28"/>
          <w:szCs w:val="28"/>
        </w:rPr>
        <w:t xml:space="preserve"> кв. 201</w:t>
      </w:r>
      <w:r w:rsidRPr="005B5E28">
        <w:rPr>
          <w:iCs/>
          <w:sz w:val="28"/>
          <w:szCs w:val="28"/>
        </w:rPr>
        <w:t>7</w:t>
      </w:r>
      <w:r w:rsidR="00667B7E" w:rsidRPr="005B5E28">
        <w:rPr>
          <w:iCs/>
          <w:sz w:val="28"/>
          <w:szCs w:val="28"/>
        </w:rPr>
        <w:t xml:space="preserve"> </w:t>
      </w:r>
      <w:r w:rsidR="004106A8" w:rsidRPr="005B5E28">
        <w:rPr>
          <w:iCs/>
          <w:sz w:val="28"/>
          <w:szCs w:val="28"/>
        </w:rPr>
        <w:t xml:space="preserve">г. – </w:t>
      </w:r>
      <w:r w:rsidRPr="005B5E28">
        <w:rPr>
          <w:iCs/>
          <w:sz w:val="28"/>
          <w:szCs w:val="28"/>
        </w:rPr>
        <w:t>100</w:t>
      </w:r>
      <w:r w:rsidR="004106A8" w:rsidRPr="005B5E28">
        <w:rPr>
          <w:iCs/>
          <w:sz w:val="28"/>
          <w:szCs w:val="28"/>
        </w:rPr>
        <w:t>%),</w:t>
      </w:r>
      <w:r w:rsidR="00254E1B" w:rsidRPr="005B5E28">
        <w:rPr>
          <w:iCs/>
          <w:sz w:val="28"/>
          <w:szCs w:val="28"/>
        </w:rPr>
        <w:t xml:space="preserve"> на втором месте – </w:t>
      </w:r>
      <w:r w:rsidRPr="005B5E28">
        <w:rPr>
          <w:iCs/>
          <w:sz w:val="28"/>
          <w:szCs w:val="28"/>
        </w:rPr>
        <w:t>с</w:t>
      </w:r>
      <w:r w:rsidRPr="005B5E28">
        <w:rPr>
          <w:bCs/>
          <w:sz w:val="28"/>
          <w:szCs w:val="28"/>
        </w:rPr>
        <w:t xml:space="preserve">мертность от </w:t>
      </w:r>
      <w:r w:rsidRPr="005B5E28">
        <w:rPr>
          <w:iCs/>
          <w:sz w:val="28"/>
          <w:szCs w:val="28"/>
        </w:rPr>
        <w:t>употребления алкоголя и его суррогатов – 77,3% (2 кв. 2017 г. – 89,8%)</w:t>
      </w:r>
      <w:proofErr w:type="gramStart"/>
      <w:r w:rsidR="00254E1B" w:rsidRPr="005B5E28">
        <w:rPr>
          <w:iCs/>
          <w:sz w:val="28"/>
          <w:szCs w:val="28"/>
        </w:rPr>
        <w:t>.</w:t>
      </w:r>
      <w:proofErr w:type="gramEnd"/>
      <w:r w:rsidR="004106A8" w:rsidRPr="005B5E28">
        <w:rPr>
          <w:bCs/>
          <w:sz w:val="28"/>
          <w:szCs w:val="28"/>
        </w:rPr>
        <w:t xml:space="preserve"> </w:t>
      </w:r>
      <w:proofErr w:type="gramStart"/>
      <w:r w:rsidR="004106A8" w:rsidRPr="005B5E28">
        <w:rPr>
          <w:sz w:val="28"/>
          <w:szCs w:val="28"/>
        </w:rPr>
        <w:t>н</w:t>
      </w:r>
      <w:proofErr w:type="gramEnd"/>
      <w:r w:rsidR="004106A8" w:rsidRPr="005B5E28">
        <w:rPr>
          <w:sz w:val="28"/>
          <w:szCs w:val="28"/>
        </w:rPr>
        <w:t xml:space="preserve">а </w:t>
      </w:r>
      <w:r w:rsidR="00254E1B" w:rsidRPr="005B5E28">
        <w:rPr>
          <w:sz w:val="28"/>
          <w:szCs w:val="28"/>
        </w:rPr>
        <w:t>третьем</w:t>
      </w:r>
      <w:r w:rsidR="004106A8" w:rsidRPr="005B5E28">
        <w:rPr>
          <w:sz w:val="28"/>
          <w:szCs w:val="28"/>
        </w:rPr>
        <w:t xml:space="preserve"> месте – </w:t>
      </w:r>
      <w:r w:rsidR="004106A8" w:rsidRPr="005B5E28">
        <w:rPr>
          <w:bCs/>
          <w:sz w:val="28"/>
          <w:szCs w:val="28"/>
        </w:rPr>
        <w:t xml:space="preserve">смертность </w:t>
      </w:r>
      <w:r w:rsidR="004106A8" w:rsidRPr="005B5E28">
        <w:rPr>
          <w:sz w:val="28"/>
          <w:szCs w:val="28"/>
        </w:rPr>
        <w:t xml:space="preserve">от токсического действия окиси углерода, </w:t>
      </w:r>
      <w:r w:rsidR="00254E1B" w:rsidRPr="005B5E28">
        <w:rPr>
          <w:sz w:val="28"/>
          <w:szCs w:val="28"/>
        </w:rPr>
        <w:t xml:space="preserve">уксусной кислотой, </w:t>
      </w:r>
      <w:r w:rsidR="004106A8" w:rsidRPr="005B5E28">
        <w:rPr>
          <w:sz w:val="28"/>
          <w:szCs w:val="28"/>
        </w:rPr>
        <w:t xml:space="preserve">их доля составила </w:t>
      </w:r>
      <w:r w:rsidRPr="005B5E28">
        <w:rPr>
          <w:sz w:val="28"/>
          <w:szCs w:val="28"/>
        </w:rPr>
        <w:t>17,9</w:t>
      </w:r>
      <w:r w:rsidR="004106A8" w:rsidRPr="005B5E28">
        <w:rPr>
          <w:sz w:val="28"/>
          <w:szCs w:val="28"/>
        </w:rPr>
        <w:t>% (</w:t>
      </w:r>
      <w:r w:rsidRPr="005B5E28">
        <w:rPr>
          <w:iCs/>
          <w:sz w:val="28"/>
          <w:szCs w:val="28"/>
        </w:rPr>
        <w:t>2</w:t>
      </w:r>
      <w:r w:rsidR="00667B7E" w:rsidRPr="005B5E28">
        <w:rPr>
          <w:iCs/>
          <w:sz w:val="28"/>
          <w:szCs w:val="28"/>
        </w:rPr>
        <w:t xml:space="preserve"> кв. 201</w:t>
      </w:r>
      <w:r w:rsidRPr="005B5E28">
        <w:rPr>
          <w:iCs/>
          <w:sz w:val="28"/>
          <w:szCs w:val="28"/>
        </w:rPr>
        <w:t>7</w:t>
      </w:r>
      <w:r w:rsidR="00667B7E" w:rsidRPr="005B5E28">
        <w:rPr>
          <w:iCs/>
          <w:sz w:val="28"/>
          <w:szCs w:val="28"/>
        </w:rPr>
        <w:t xml:space="preserve"> </w:t>
      </w:r>
      <w:r w:rsidR="004106A8" w:rsidRPr="005B5E28">
        <w:rPr>
          <w:iCs/>
          <w:sz w:val="28"/>
          <w:szCs w:val="28"/>
        </w:rPr>
        <w:t xml:space="preserve">г. – </w:t>
      </w:r>
      <w:r w:rsidRPr="005B5E28">
        <w:rPr>
          <w:iCs/>
          <w:sz w:val="28"/>
          <w:szCs w:val="28"/>
        </w:rPr>
        <w:t>13</w:t>
      </w:r>
      <w:r w:rsidR="004106A8" w:rsidRPr="005B5E28">
        <w:rPr>
          <w:iCs/>
          <w:sz w:val="28"/>
          <w:szCs w:val="28"/>
        </w:rPr>
        <w:t>%)</w:t>
      </w:r>
      <w:r w:rsidR="00254E1B" w:rsidRPr="005B5E28">
        <w:rPr>
          <w:iCs/>
          <w:sz w:val="28"/>
          <w:szCs w:val="28"/>
        </w:rPr>
        <w:t>.</w:t>
      </w:r>
      <w:r w:rsidR="004106A8" w:rsidRPr="005B5E28">
        <w:rPr>
          <w:sz w:val="28"/>
          <w:szCs w:val="28"/>
        </w:rPr>
        <w:t xml:space="preserve"> </w:t>
      </w:r>
      <w:r w:rsidRPr="005B5E28">
        <w:rPr>
          <w:sz w:val="28"/>
          <w:szCs w:val="28"/>
        </w:rPr>
        <w:t xml:space="preserve">В 3 квартале 2017 года не </w:t>
      </w:r>
      <w:r w:rsidRPr="005B5E28">
        <w:rPr>
          <w:sz w:val="28"/>
          <w:szCs w:val="28"/>
        </w:rPr>
        <w:lastRenderedPageBreak/>
        <w:t>отмечалось случаев летальных исходов от отравлений лекарственными средствами, в 1 квартале 2017 года смертность составила 5,9%.</w:t>
      </w:r>
    </w:p>
    <w:p w:rsidR="006A6BBB" w:rsidRDefault="00FE7A98" w:rsidP="00FF77A5">
      <w:pPr>
        <w:ind w:hanging="142"/>
        <w:jc w:val="both"/>
        <w:rPr>
          <w:sz w:val="22"/>
          <w:szCs w:val="22"/>
        </w:rPr>
      </w:pPr>
      <w:r w:rsidRPr="00FE7A98">
        <w:rPr>
          <w:noProof/>
          <w:sz w:val="28"/>
          <w:szCs w:val="28"/>
        </w:rPr>
        <w:drawing>
          <wp:inline distT="0" distB="0" distL="0" distR="0">
            <wp:extent cx="4514850" cy="2876550"/>
            <wp:effectExtent l="19050" t="0" r="19050" b="0"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FF77A5">
        <w:rPr>
          <w:sz w:val="22"/>
          <w:szCs w:val="22"/>
        </w:rPr>
        <w:t xml:space="preserve">       </w:t>
      </w:r>
      <w:r w:rsidR="00FF77A5" w:rsidRPr="00FE7A98">
        <w:rPr>
          <w:noProof/>
          <w:sz w:val="28"/>
          <w:szCs w:val="28"/>
        </w:rPr>
        <w:drawing>
          <wp:inline distT="0" distB="0" distL="0" distR="0">
            <wp:extent cx="4391025" cy="2876550"/>
            <wp:effectExtent l="19050" t="0" r="9525" b="0"/>
            <wp:docPr id="1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F77A5" w:rsidRDefault="00FF77A5" w:rsidP="004106A8">
      <w:pPr>
        <w:ind w:firstLine="566"/>
        <w:jc w:val="center"/>
        <w:rPr>
          <w:sz w:val="22"/>
          <w:szCs w:val="22"/>
        </w:rPr>
      </w:pPr>
    </w:p>
    <w:p w:rsidR="004106A8" w:rsidRPr="00B909AA" w:rsidRDefault="004106A8" w:rsidP="004106A8">
      <w:pPr>
        <w:ind w:firstLine="566"/>
        <w:jc w:val="center"/>
        <w:rPr>
          <w:sz w:val="22"/>
          <w:szCs w:val="22"/>
        </w:rPr>
      </w:pPr>
      <w:r w:rsidRPr="00B909AA">
        <w:rPr>
          <w:sz w:val="22"/>
          <w:szCs w:val="22"/>
        </w:rPr>
        <w:t xml:space="preserve">Рис. 3 Структура ООХЭ с летальными исходами по видам отравлений </w:t>
      </w:r>
    </w:p>
    <w:p w:rsidR="004106A8" w:rsidRPr="00360262" w:rsidRDefault="004106A8" w:rsidP="004106A8">
      <w:pPr>
        <w:ind w:firstLine="566"/>
        <w:jc w:val="center"/>
        <w:rPr>
          <w:sz w:val="22"/>
          <w:szCs w:val="22"/>
        </w:rPr>
      </w:pPr>
      <w:r w:rsidRPr="00B909AA">
        <w:rPr>
          <w:sz w:val="22"/>
          <w:szCs w:val="22"/>
        </w:rPr>
        <w:t>населения</w:t>
      </w:r>
      <w:r w:rsidRPr="00360262">
        <w:rPr>
          <w:sz w:val="22"/>
          <w:szCs w:val="22"/>
        </w:rPr>
        <w:t xml:space="preserve"> Костромской области за </w:t>
      </w:r>
      <w:r w:rsidR="00360262" w:rsidRPr="00360262">
        <w:rPr>
          <w:sz w:val="22"/>
          <w:szCs w:val="22"/>
        </w:rPr>
        <w:t>2</w:t>
      </w:r>
      <w:r w:rsidR="005B5E28">
        <w:rPr>
          <w:sz w:val="22"/>
          <w:szCs w:val="22"/>
        </w:rPr>
        <w:t xml:space="preserve">-3 </w:t>
      </w:r>
      <w:r w:rsidRPr="00360262">
        <w:rPr>
          <w:sz w:val="22"/>
          <w:szCs w:val="22"/>
        </w:rPr>
        <w:t>квартал 201</w:t>
      </w:r>
      <w:r w:rsidR="005B5E28">
        <w:rPr>
          <w:sz w:val="22"/>
          <w:szCs w:val="22"/>
        </w:rPr>
        <w:t>7</w:t>
      </w:r>
      <w:r w:rsidRPr="00360262">
        <w:rPr>
          <w:sz w:val="22"/>
          <w:szCs w:val="22"/>
        </w:rPr>
        <w:t>г</w:t>
      </w:r>
      <w:proofErr w:type="gramStart"/>
      <w:r w:rsidRPr="00360262">
        <w:rPr>
          <w:sz w:val="22"/>
          <w:szCs w:val="22"/>
        </w:rPr>
        <w:t>. (%)</w:t>
      </w:r>
      <w:proofErr w:type="gramEnd"/>
    </w:p>
    <w:p w:rsidR="004106A8" w:rsidRPr="00C25905" w:rsidRDefault="004106A8" w:rsidP="004106A8">
      <w:pPr>
        <w:ind w:firstLine="709"/>
        <w:jc w:val="both"/>
        <w:rPr>
          <w:sz w:val="28"/>
          <w:szCs w:val="28"/>
        </w:rPr>
      </w:pPr>
    </w:p>
    <w:p w:rsidR="00C25905" w:rsidRPr="005713CD" w:rsidRDefault="004106A8" w:rsidP="004106A8">
      <w:pPr>
        <w:ind w:firstLine="709"/>
        <w:jc w:val="both"/>
        <w:rPr>
          <w:sz w:val="28"/>
          <w:szCs w:val="28"/>
        </w:rPr>
      </w:pPr>
      <w:r w:rsidRPr="00C25905">
        <w:rPr>
          <w:sz w:val="28"/>
          <w:szCs w:val="28"/>
        </w:rPr>
        <w:t xml:space="preserve">Изменений в половозрастной структуре пострадавших не произошло, </w:t>
      </w:r>
      <w:r w:rsidR="00034507">
        <w:rPr>
          <w:sz w:val="28"/>
          <w:szCs w:val="28"/>
        </w:rPr>
        <w:t>87,3</w:t>
      </w:r>
      <w:r w:rsidR="00C25905" w:rsidRPr="00C25905">
        <w:rPr>
          <w:sz w:val="28"/>
          <w:szCs w:val="28"/>
        </w:rPr>
        <w:t xml:space="preserve">% </w:t>
      </w:r>
      <w:r w:rsidRPr="00C25905">
        <w:rPr>
          <w:sz w:val="28"/>
          <w:szCs w:val="28"/>
        </w:rPr>
        <w:t xml:space="preserve">приходится на взрослое население, </w:t>
      </w:r>
      <w:r w:rsidR="00C25905" w:rsidRPr="00C25905">
        <w:rPr>
          <w:sz w:val="28"/>
          <w:szCs w:val="28"/>
        </w:rPr>
        <w:t>на втором месте дети (0-14 лет)</w:t>
      </w:r>
      <w:r w:rsidR="00254E1B">
        <w:rPr>
          <w:sz w:val="28"/>
          <w:szCs w:val="28"/>
        </w:rPr>
        <w:t xml:space="preserve"> – </w:t>
      </w:r>
      <w:r w:rsidR="00034507">
        <w:rPr>
          <w:sz w:val="28"/>
          <w:szCs w:val="28"/>
        </w:rPr>
        <w:t>12,7</w:t>
      </w:r>
      <w:r w:rsidR="00254E1B">
        <w:rPr>
          <w:sz w:val="28"/>
          <w:szCs w:val="28"/>
        </w:rPr>
        <w:t>%.</w:t>
      </w:r>
    </w:p>
    <w:p w:rsidR="004106A8" w:rsidRPr="005713CD" w:rsidRDefault="004106A8" w:rsidP="004106A8">
      <w:pPr>
        <w:ind w:firstLine="709"/>
        <w:jc w:val="both"/>
        <w:rPr>
          <w:sz w:val="28"/>
          <w:szCs w:val="28"/>
        </w:rPr>
      </w:pPr>
      <w:r w:rsidRPr="005713CD">
        <w:rPr>
          <w:sz w:val="28"/>
          <w:szCs w:val="28"/>
        </w:rPr>
        <w:t xml:space="preserve">Из числа умерших наибольший процент летальных исходов отмечен среди пострадавших в возрасте </w:t>
      </w:r>
      <w:r w:rsidR="00A51664">
        <w:rPr>
          <w:sz w:val="28"/>
          <w:szCs w:val="28"/>
        </w:rPr>
        <w:t xml:space="preserve">60 лет и старше </w:t>
      </w:r>
      <w:r w:rsidR="00034507">
        <w:rPr>
          <w:sz w:val="28"/>
          <w:szCs w:val="28"/>
        </w:rPr>
        <w:t>–</w:t>
      </w:r>
      <w:r w:rsidR="00A51664">
        <w:rPr>
          <w:sz w:val="28"/>
          <w:szCs w:val="28"/>
        </w:rPr>
        <w:t xml:space="preserve"> </w:t>
      </w:r>
      <w:r w:rsidR="00034507">
        <w:rPr>
          <w:sz w:val="28"/>
          <w:szCs w:val="28"/>
        </w:rPr>
        <w:t>29,3</w:t>
      </w:r>
      <w:r w:rsidR="00A51664">
        <w:rPr>
          <w:sz w:val="28"/>
          <w:szCs w:val="28"/>
        </w:rPr>
        <w:t xml:space="preserve">% </w:t>
      </w:r>
      <w:r w:rsidR="00254E1B">
        <w:rPr>
          <w:sz w:val="28"/>
          <w:szCs w:val="28"/>
        </w:rPr>
        <w:t xml:space="preserve"> </w:t>
      </w:r>
      <w:r w:rsidR="00A51664" w:rsidRPr="005713CD">
        <w:rPr>
          <w:sz w:val="28"/>
          <w:szCs w:val="28"/>
        </w:rPr>
        <w:t>(</w:t>
      </w:r>
      <w:r w:rsidR="00034507">
        <w:rPr>
          <w:sz w:val="28"/>
          <w:szCs w:val="28"/>
        </w:rPr>
        <w:t xml:space="preserve">2 </w:t>
      </w:r>
      <w:r w:rsidR="00A51664" w:rsidRPr="005713CD">
        <w:rPr>
          <w:sz w:val="28"/>
          <w:szCs w:val="28"/>
        </w:rPr>
        <w:t>кв. 201</w:t>
      </w:r>
      <w:r w:rsidR="00034507">
        <w:rPr>
          <w:sz w:val="28"/>
          <w:szCs w:val="28"/>
        </w:rPr>
        <w:t>7</w:t>
      </w:r>
      <w:r w:rsidR="00A51664" w:rsidRPr="005713CD">
        <w:rPr>
          <w:sz w:val="28"/>
          <w:szCs w:val="28"/>
        </w:rPr>
        <w:t xml:space="preserve">г. </w:t>
      </w:r>
      <w:r w:rsidR="00A51664">
        <w:rPr>
          <w:sz w:val="28"/>
          <w:szCs w:val="28"/>
        </w:rPr>
        <w:t>–</w:t>
      </w:r>
      <w:r w:rsidR="00A51664" w:rsidRPr="005713CD">
        <w:rPr>
          <w:sz w:val="28"/>
          <w:szCs w:val="28"/>
        </w:rPr>
        <w:t xml:space="preserve"> </w:t>
      </w:r>
      <w:r w:rsidR="00034507">
        <w:rPr>
          <w:sz w:val="28"/>
          <w:szCs w:val="28"/>
        </w:rPr>
        <w:t>35,3</w:t>
      </w:r>
      <w:r w:rsidR="00A51664" w:rsidRPr="005713CD">
        <w:rPr>
          <w:sz w:val="28"/>
          <w:szCs w:val="28"/>
        </w:rPr>
        <w:t>%)</w:t>
      </w:r>
      <w:r w:rsidR="00A51664">
        <w:rPr>
          <w:sz w:val="28"/>
          <w:szCs w:val="28"/>
        </w:rPr>
        <w:t xml:space="preserve"> </w:t>
      </w:r>
      <w:r w:rsidR="00254E1B">
        <w:rPr>
          <w:sz w:val="28"/>
          <w:szCs w:val="28"/>
        </w:rPr>
        <w:t xml:space="preserve">и </w:t>
      </w:r>
      <w:r w:rsidR="00034507">
        <w:rPr>
          <w:sz w:val="28"/>
          <w:szCs w:val="28"/>
        </w:rPr>
        <w:t>26-39</w:t>
      </w:r>
      <w:r w:rsidR="00254E1B">
        <w:rPr>
          <w:sz w:val="28"/>
          <w:szCs w:val="28"/>
        </w:rPr>
        <w:t xml:space="preserve"> лет</w:t>
      </w:r>
      <w:r w:rsidR="00A51664">
        <w:rPr>
          <w:sz w:val="28"/>
          <w:szCs w:val="28"/>
        </w:rPr>
        <w:t>-</w:t>
      </w:r>
      <w:r w:rsidR="00034507">
        <w:rPr>
          <w:sz w:val="28"/>
          <w:szCs w:val="28"/>
        </w:rPr>
        <w:t>24,4</w:t>
      </w:r>
      <w:r w:rsidR="005713CD" w:rsidRPr="005713CD">
        <w:rPr>
          <w:sz w:val="28"/>
          <w:szCs w:val="28"/>
        </w:rPr>
        <w:t>% (</w:t>
      </w:r>
      <w:r w:rsidR="00034507">
        <w:rPr>
          <w:sz w:val="28"/>
          <w:szCs w:val="28"/>
        </w:rPr>
        <w:t xml:space="preserve">2 </w:t>
      </w:r>
      <w:r w:rsidR="005713CD" w:rsidRPr="005713CD">
        <w:rPr>
          <w:sz w:val="28"/>
          <w:szCs w:val="28"/>
        </w:rPr>
        <w:t>кв. 201</w:t>
      </w:r>
      <w:r w:rsidR="00034507">
        <w:rPr>
          <w:sz w:val="28"/>
          <w:szCs w:val="28"/>
        </w:rPr>
        <w:t>7</w:t>
      </w:r>
      <w:r w:rsidR="005713CD" w:rsidRPr="005713CD">
        <w:rPr>
          <w:sz w:val="28"/>
          <w:szCs w:val="28"/>
        </w:rPr>
        <w:t xml:space="preserve">г. </w:t>
      </w:r>
      <w:r w:rsidR="00A51664">
        <w:rPr>
          <w:sz w:val="28"/>
          <w:szCs w:val="28"/>
        </w:rPr>
        <w:t>–</w:t>
      </w:r>
      <w:r w:rsidR="005713CD" w:rsidRPr="005713CD">
        <w:rPr>
          <w:sz w:val="28"/>
          <w:szCs w:val="28"/>
        </w:rPr>
        <w:t xml:space="preserve"> </w:t>
      </w:r>
      <w:r w:rsidR="00034507">
        <w:rPr>
          <w:sz w:val="28"/>
          <w:szCs w:val="28"/>
        </w:rPr>
        <w:t>17,6</w:t>
      </w:r>
      <w:r w:rsidRPr="005713CD">
        <w:rPr>
          <w:sz w:val="28"/>
          <w:szCs w:val="28"/>
        </w:rPr>
        <w:t>%</w:t>
      </w:r>
      <w:r w:rsidR="005713CD" w:rsidRPr="005713CD">
        <w:rPr>
          <w:sz w:val="28"/>
          <w:szCs w:val="28"/>
        </w:rPr>
        <w:t>)</w:t>
      </w:r>
      <w:r w:rsidR="00A51664">
        <w:rPr>
          <w:sz w:val="28"/>
          <w:szCs w:val="28"/>
        </w:rPr>
        <w:t>.</w:t>
      </w:r>
    </w:p>
    <w:p w:rsidR="004106A8" w:rsidRPr="000240EE" w:rsidRDefault="004106A8" w:rsidP="004106A8">
      <w:pPr>
        <w:ind w:firstLine="709"/>
        <w:jc w:val="both"/>
        <w:rPr>
          <w:sz w:val="28"/>
          <w:szCs w:val="28"/>
        </w:rPr>
      </w:pPr>
      <w:r w:rsidRPr="005713CD">
        <w:rPr>
          <w:sz w:val="28"/>
          <w:szCs w:val="28"/>
        </w:rPr>
        <w:t xml:space="preserve">Анализ социальной принадлежности лиц пострадавших от ООХЭ свидетельствует, что </w:t>
      </w:r>
      <w:r w:rsidR="005713CD" w:rsidRPr="005713CD">
        <w:rPr>
          <w:sz w:val="28"/>
          <w:szCs w:val="28"/>
        </w:rPr>
        <w:t xml:space="preserve">наибольший удельный вес </w:t>
      </w:r>
      <w:r w:rsidRPr="005713CD">
        <w:rPr>
          <w:sz w:val="28"/>
          <w:szCs w:val="28"/>
        </w:rPr>
        <w:t>приходится на наиболее социально незащищенную часть населения – безработных и пенсионеров</w:t>
      </w:r>
      <w:r w:rsidR="005713CD" w:rsidRPr="005713CD">
        <w:rPr>
          <w:sz w:val="28"/>
          <w:szCs w:val="28"/>
        </w:rPr>
        <w:t xml:space="preserve">, их доли </w:t>
      </w:r>
      <w:r w:rsidR="005713CD" w:rsidRPr="000240EE">
        <w:rPr>
          <w:sz w:val="28"/>
          <w:szCs w:val="28"/>
        </w:rPr>
        <w:t xml:space="preserve">соответственно составили </w:t>
      </w:r>
      <w:r w:rsidR="00034507">
        <w:rPr>
          <w:sz w:val="28"/>
          <w:szCs w:val="28"/>
        </w:rPr>
        <w:t>42,5</w:t>
      </w:r>
      <w:r w:rsidR="005713CD" w:rsidRPr="000240EE">
        <w:rPr>
          <w:sz w:val="28"/>
          <w:szCs w:val="28"/>
        </w:rPr>
        <w:t xml:space="preserve">% и </w:t>
      </w:r>
      <w:r w:rsidR="00034507">
        <w:rPr>
          <w:sz w:val="28"/>
          <w:szCs w:val="28"/>
        </w:rPr>
        <w:t>25,3</w:t>
      </w:r>
      <w:r w:rsidR="005713CD" w:rsidRPr="000240EE">
        <w:rPr>
          <w:sz w:val="28"/>
          <w:szCs w:val="28"/>
        </w:rPr>
        <w:t>%,</w:t>
      </w:r>
      <w:r w:rsidRPr="000240EE">
        <w:rPr>
          <w:sz w:val="28"/>
          <w:szCs w:val="28"/>
        </w:rPr>
        <w:t xml:space="preserve"> </w:t>
      </w:r>
      <w:r w:rsidR="005713CD" w:rsidRPr="000240EE">
        <w:rPr>
          <w:sz w:val="28"/>
          <w:szCs w:val="28"/>
        </w:rPr>
        <w:t xml:space="preserve">на </w:t>
      </w:r>
      <w:r w:rsidRPr="000240EE">
        <w:rPr>
          <w:sz w:val="28"/>
          <w:szCs w:val="28"/>
        </w:rPr>
        <w:t>дол</w:t>
      </w:r>
      <w:r w:rsidR="005713CD" w:rsidRPr="000240EE">
        <w:rPr>
          <w:sz w:val="28"/>
          <w:szCs w:val="28"/>
        </w:rPr>
        <w:t>ю</w:t>
      </w:r>
      <w:r w:rsidRPr="000240EE">
        <w:rPr>
          <w:sz w:val="28"/>
          <w:szCs w:val="28"/>
        </w:rPr>
        <w:t xml:space="preserve"> работающего населения </w:t>
      </w:r>
      <w:r w:rsidR="005713CD" w:rsidRPr="000240EE">
        <w:rPr>
          <w:sz w:val="28"/>
          <w:szCs w:val="28"/>
        </w:rPr>
        <w:t xml:space="preserve">приходится </w:t>
      </w:r>
      <w:r w:rsidR="00034507">
        <w:rPr>
          <w:sz w:val="28"/>
          <w:szCs w:val="28"/>
        </w:rPr>
        <w:t>19,5</w:t>
      </w:r>
      <w:r w:rsidR="005713CD" w:rsidRPr="000240EE">
        <w:rPr>
          <w:sz w:val="28"/>
          <w:szCs w:val="28"/>
        </w:rPr>
        <w:t xml:space="preserve">% (в </w:t>
      </w:r>
      <w:r w:rsidR="00034507">
        <w:rPr>
          <w:sz w:val="28"/>
          <w:szCs w:val="28"/>
        </w:rPr>
        <w:t xml:space="preserve">2 </w:t>
      </w:r>
      <w:r w:rsidR="005713CD" w:rsidRPr="000240EE">
        <w:rPr>
          <w:sz w:val="28"/>
          <w:szCs w:val="28"/>
        </w:rPr>
        <w:t>кв. 201</w:t>
      </w:r>
      <w:r w:rsidR="00034507">
        <w:rPr>
          <w:sz w:val="28"/>
          <w:szCs w:val="28"/>
        </w:rPr>
        <w:t>7</w:t>
      </w:r>
      <w:r w:rsidR="005713CD" w:rsidRPr="000240EE">
        <w:rPr>
          <w:sz w:val="28"/>
          <w:szCs w:val="28"/>
        </w:rPr>
        <w:t xml:space="preserve">г. </w:t>
      </w:r>
      <w:r w:rsidR="00FE48B4">
        <w:rPr>
          <w:sz w:val="28"/>
          <w:szCs w:val="28"/>
        </w:rPr>
        <w:t>–</w:t>
      </w:r>
      <w:r w:rsidR="005713CD" w:rsidRPr="000240EE">
        <w:rPr>
          <w:sz w:val="28"/>
          <w:szCs w:val="28"/>
        </w:rPr>
        <w:t xml:space="preserve"> </w:t>
      </w:r>
      <w:r w:rsidR="00034507">
        <w:rPr>
          <w:sz w:val="28"/>
          <w:szCs w:val="28"/>
        </w:rPr>
        <w:t>15,5</w:t>
      </w:r>
      <w:r w:rsidRPr="000240EE">
        <w:rPr>
          <w:sz w:val="28"/>
          <w:szCs w:val="28"/>
        </w:rPr>
        <w:t>%</w:t>
      </w:r>
      <w:r w:rsidR="005713CD" w:rsidRPr="000240EE">
        <w:rPr>
          <w:sz w:val="28"/>
          <w:szCs w:val="28"/>
        </w:rPr>
        <w:t>)</w:t>
      </w:r>
      <w:r w:rsidRPr="000240EE">
        <w:rPr>
          <w:sz w:val="28"/>
          <w:szCs w:val="28"/>
        </w:rPr>
        <w:t>.</w:t>
      </w:r>
    </w:p>
    <w:p w:rsidR="004106A8" w:rsidRPr="00593D57" w:rsidRDefault="004106A8" w:rsidP="004106A8">
      <w:pPr>
        <w:ind w:firstLine="709"/>
        <w:jc w:val="both"/>
        <w:rPr>
          <w:sz w:val="28"/>
          <w:szCs w:val="28"/>
        </w:rPr>
      </w:pPr>
      <w:r w:rsidRPr="00183375">
        <w:rPr>
          <w:sz w:val="28"/>
          <w:szCs w:val="28"/>
        </w:rPr>
        <w:t xml:space="preserve">По характеру острых отравлений установлено, что преднамеренное отравление зарегистрировано в </w:t>
      </w:r>
      <w:r w:rsidR="00034507">
        <w:rPr>
          <w:sz w:val="28"/>
          <w:szCs w:val="28"/>
        </w:rPr>
        <w:t>13,8</w:t>
      </w:r>
      <w:r w:rsidR="00183375" w:rsidRPr="00183375">
        <w:rPr>
          <w:sz w:val="28"/>
          <w:szCs w:val="28"/>
        </w:rPr>
        <w:t xml:space="preserve">% </w:t>
      </w:r>
      <w:r w:rsidRPr="00183375">
        <w:rPr>
          <w:sz w:val="28"/>
          <w:szCs w:val="28"/>
        </w:rPr>
        <w:t>случаев (</w:t>
      </w:r>
      <w:r w:rsidR="00034507">
        <w:rPr>
          <w:sz w:val="28"/>
          <w:szCs w:val="28"/>
        </w:rPr>
        <w:t>2</w:t>
      </w:r>
      <w:r w:rsidR="00183375" w:rsidRPr="00183375">
        <w:rPr>
          <w:sz w:val="28"/>
          <w:szCs w:val="28"/>
        </w:rPr>
        <w:t xml:space="preserve"> кв. 201</w:t>
      </w:r>
      <w:r w:rsidR="00034507">
        <w:rPr>
          <w:sz w:val="28"/>
          <w:szCs w:val="28"/>
        </w:rPr>
        <w:t>7</w:t>
      </w:r>
      <w:r w:rsidR="00183375" w:rsidRPr="00183375">
        <w:rPr>
          <w:sz w:val="28"/>
          <w:szCs w:val="28"/>
        </w:rPr>
        <w:t xml:space="preserve">г. – </w:t>
      </w:r>
      <w:r w:rsidR="00D35DE3">
        <w:rPr>
          <w:sz w:val="28"/>
          <w:szCs w:val="28"/>
        </w:rPr>
        <w:t>17</w:t>
      </w:r>
      <w:r w:rsidR="006E25FF">
        <w:rPr>
          <w:sz w:val="28"/>
          <w:szCs w:val="28"/>
        </w:rPr>
        <w:t>,5</w:t>
      </w:r>
      <w:r w:rsidR="00183375" w:rsidRPr="00183375">
        <w:rPr>
          <w:sz w:val="28"/>
          <w:szCs w:val="28"/>
        </w:rPr>
        <w:t>%)</w:t>
      </w:r>
      <w:r w:rsidRPr="00183375">
        <w:rPr>
          <w:sz w:val="28"/>
          <w:szCs w:val="28"/>
        </w:rPr>
        <w:t xml:space="preserve">, случайное – в </w:t>
      </w:r>
      <w:r w:rsidR="00D35DE3">
        <w:rPr>
          <w:sz w:val="28"/>
          <w:szCs w:val="28"/>
        </w:rPr>
        <w:t>79,3</w:t>
      </w:r>
      <w:r w:rsidR="00183375" w:rsidRPr="00183375">
        <w:rPr>
          <w:sz w:val="28"/>
          <w:szCs w:val="28"/>
        </w:rPr>
        <w:t>%</w:t>
      </w:r>
      <w:r w:rsidR="006E25FF">
        <w:rPr>
          <w:sz w:val="28"/>
          <w:szCs w:val="28"/>
        </w:rPr>
        <w:t xml:space="preserve"> случаев</w:t>
      </w:r>
      <w:r w:rsidR="00183375" w:rsidRPr="00183375">
        <w:rPr>
          <w:sz w:val="28"/>
          <w:szCs w:val="28"/>
        </w:rPr>
        <w:t xml:space="preserve"> (</w:t>
      </w:r>
      <w:r w:rsidR="00D35DE3">
        <w:rPr>
          <w:sz w:val="28"/>
          <w:szCs w:val="28"/>
        </w:rPr>
        <w:t>2</w:t>
      </w:r>
      <w:r w:rsidR="00183375" w:rsidRPr="00183375">
        <w:rPr>
          <w:sz w:val="28"/>
          <w:szCs w:val="28"/>
        </w:rPr>
        <w:t xml:space="preserve"> кв. 201</w:t>
      </w:r>
      <w:r w:rsidR="00D35DE3">
        <w:rPr>
          <w:sz w:val="28"/>
          <w:szCs w:val="28"/>
        </w:rPr>
        <w:t>7</w:t>
      </w:r>
      <w:r w:rsidR="00183375" w:rsidRPr="00183375">
        <w:rPr>
          <w:sz w:val="28"/>
          <w:szCs w:val="28"/>
        </w:rPr>
        <w:t xml:space="preserve">г. </w:t>
      </w:r>
      <w:r w:rsidR="006E25FF">
        <w:rPr>
          <w:sz w:val="28"/>
          <w:szCs w:val="28"/>
        </w:rPr>
        <w:t>–</w:t>
      </w:r>
      <w:r w:rsidR="00183375" w:rsidRPr="00183375">
        <w:rPr>
          <w:sz w:val="28"/>
          <w:szCs w:val="28"/>
        </w:rPr>
        <w:t xml:space="preserve"> </w:t>
      </w:r>
      <w:r w:rsidR="00D35DE3">
        <w:rPr>
          <w:sz w:val="28"/>
          <w:szCs w:val="28"/>
        </w:rPr>
        <w:t>37,1</w:t>
      </w:r>
      <w:r w:rsidRPr="00183375">
        <w:rPr>
          <w:sz w:val="28"/>
          <w:szCs w:val="28"/>
        </w:rPr>
        <w:t>%</w:t>
      </w:r>
      <w:r w:rsidR="00183375" w:rsidRPr="00183375">
        <w:rPr>
          <w:sz w:val="28"/>
          <w:szCs w:val="28"/>
        </w:rPr>
        <w:t xml:space="preserve">). Сократилось число случаев ООХЭ, при которых </w:t>
      </w:r>
      <w:r w:rsidRPr="00183375">
        <w:rPr>
          <w:sz w:val="28"/>
          <w:szCs w:val="28"/>
        </w:rPr>
        <w:t>обстоятельства отравления не определены</w:t>
      </w:r>
      <w:r w:rsidR="00593D57">
        <w:rPr>
          <w:sz w:val="28"/>
          <w:szCs w:val="28"/>
        </w:rPr>
        <w:t xml:space="preserve"> </w:t>
      </w:r>
      <w:r w:rsidR="006E25FF">
        <w:rPr>
          <w:sz w:val="28"/>
          <w:szCs w:val="28"/>
        </w:rPr>
        <w:t>–</w:t>
      </w:r>
      <w:r w:rsidR="00183375" w:rsidRPr="00183375">
        <w:rPr>
          <w:sz w:val="28"/>
          <w:szCs w:val="28"/>
        </w:rPr>
        <w:t xml:space="preserve"> </w:t>
      </w:r>
      <w:r w:rsidR="00D35DE3">
        <w:rPr>
          <w:sz w:val="28"/>
          <w:szCs w:val="28"/>
        </w:rPr>
        <w:t>6,9</w:t>
      </w:r>
      <w:r w:rsidR="00183375" w:rsidRPr="00183375">
        <w:rPr>
          <w:sz w:val="28"/>
          <w:szCs w:val="28"/>
        </w:rPr>
        <w:t xml:space="preserve">% против </w:t>
      </w:r>
      <w:r w:rsidR="00D35DE3">
        <w:rPr>
          <w:sz w:val="28"/>
          <w:szCs w:val="28"/>
        </w:rPr>
        <w:t>45,4</w:t>
      </w:r>
      <w:r w:rsidR="00183375" w:rsidRPr="00183375">
        <w:rPr>
          <w:sz w:val="28"/>
          <w:szCs w:val="28"/>
        </w:rPr>
        <w:t>%</w:t>
      </w:r>
      <w:r w:rsidR="00183375">
        <w:rPr>
          <w:sz w:val="28"/>
          <w:szCs w:val="28"/>
        </w:rPr>
        <w:t xml:space="preserve"> </w:t>
      </w:r>
      <w:r w:rsidR="00183375" w:rsidRPr="00593D57">
        <w:rPr>
          <w:sz w:val="28"/>
          <w:szCs w:val="28"/>
        </w:rPr>
        <w:t>в</w:t>
      </w:r>
      <w:r w:rsidR="00D35DE3">
        <w:rPr>
          <w:sz w:val="28"/>
          <w:szCs w:val="28"/>
        </w:rPr>
        <w:t>о</w:t>
      </w:r>
      <w:r w:rsidR="00183375" w:rsidRPr="00593D57">
        <w:rPr>
          <w:sz w:val="28"/>
          <w:szCs w:val="28"/>
        </w:rPr>
        <w:t xml:space="preserve"> </w:t>
      </w:r>
      <w:r w:rsidR="00D35DE3">
        <w:rPr>
          <w:sz w:val="28"/>
          <w:szCs w:val="28"/>
        </w:rPr>
        <w:t>2</w:t>
      </w:r>
      <w:r w:rsidR="00183375" w:rsidRPr="00593D57">
        <w:rPr>
          <w:sz w:val="28"/>
          <w:szCs w:val="28"/>
        </w:rPr>
        <w:t xml:space="preserve"> квартале 201</w:t>
      </w:r>
      <w:r w:rsidR="00D35DE3">
        <w:rPr>
          <w:sz w:val="28"/>
          <w:szCs w:val="28"/>
        </w:rPr>
        <w:t>7</w:t>
      </w:r>
      <w:r w:rsidR="00183375" w:rsidRPr="00593D57">
        <w:rPr>
          <w:sz w:val="28"/>
          <w:szCs w:val="28"/>
        </w:rPr>
        <w:t>г</w:t>
      </w:r>
      <w:r w:rsidR="004C541F">
        <w:rPr>
          <w:sz w:val="28"/>
          <w:szCs w:val="28"/>
        </w:rPr>
        <w:t>ода.</w:t>
      </w:r>
    </w:p>
    <w:p w:rsidR="004106A8" w:rsidRPr="00593D57" w:rsidRDefault="004106A8" w:rsidP="004106A8">
      <w:pPr>
        <w:ind w:firstLine="709"/>
        <w:jc w:val="both"/>
        <w:rPr>
          <w:sz w:val="28"/>
          <w:szCs w:val="28"/>
        </w:rPr>
      </w:pPr>
      <w:r w:rsidRPr="00593D57">
        <w:rPr>
          <w:sz w:val="28"/>
          <w:szCs w:val="28"/>
        </w:rPr>
        <w:lastRenderedPageBreak/>
        <w:t xml:space="preserve">Основным местом установленного приобретения химических веществ послуживших причиной отравления явились аптеки </w:t>
      </w:r>
      <w:r w:rsidR="00D35DE3">
        <w:rPr>
          <w:sz w:val="28"/>
          <w:szCs w:val="28"/>
        </w:rPr>
        <w:t>8</w:t>
      </w:r>
      <w:r w:rsidR="00593D57" w:rsidRPr="00593D57">
        <w:rPr>
          <w:sz w:val="28"/>
          <w:szCs w:val="28"/>
        </w:rPr>
        <w:t>% (</w:t>
      </w:r>
      <w:r w:rsidR="00D35DE3">
        <w:rPr>
          <w:sz w:val="28"/>
          <w:szCs w:val="28"/>
        </w:rPr>
        <w:t xml:space="preserve">2 </w:t>
      </w:r>
      <w:r w:rsidR="00593D57" w:rsidRPr="00593D57">
        <w:rPr>
          <w:sz w:val="28"/>
          <w:szCs w:val="28"/>
        </w:rPr>
        <w:t>кв. 201</w:t>
      </w:r>
      <w:r w:rsidR="00D35DE3">
        <w:rPr>
          <w:sz w:val="28"/>
          <w:szCs w:val="28"/>
        </w:rPr>
        <w:t>7</w:t>
      </w:r>
      <w:r w:rsidR="00593D57" w:rsidRPr="00593D57">
        <w:rPr>
          <w:sz w:val="28"/>
          <w:szCs w:val="28"/>
        </w:rPr>
        <w:t xml:space="preserve">г. </w:t>
      </w:r>
      <w:r w:rsidR="006E25FF">
        <w:rPr>
          <w:sz w:val="28"/>
          <w:szCs w:val="28"/>
        </w:rPr>
        <w:t>–</w:t>
      </w:r>
      <w:r w:rsidR="00593D57" w:rsidRPr="00593D57">
        <w:rPr>
          <w:sz w:val="28"/>
          <w:szCs w:val="28"/>
        </w:rPr>
        <w:t xml:space="preserve"> </w:t>
      </w:r>
      <w:r w:rsidR="00D35DE3">
        <w:rPr>
          <w:sz w:val="28"/>
          <w:szCs w:val="28"/>
        </w:rPr>
        <w:t>10,3</w:t>
      </w:r>
      <w:r w:rsidRPr="00593D57">
        <w:rPr>
          <w:sz w:val="28"/>
          <w:szCs w:val="28"/>
        </w:rPr>
        <w:t>%)</w:t>
      </w:r>
      <w:r w:rsidR="00D35DE3">
        <w:rPr>
          <w:sz w:val="28"/>
          <w:szCs w:val="28"/>
        </w:rPr>
        <w:t xml:space="preserve"> и магазины 6,9%</w:t>
      </w:r>
      <w:r w:rsidRPr="00593D57">
        <w:rPr>
          <w:sz w:val="28"/>
          <w:szCs w:val="28"/>
        </w:rPr>
        <w:t xml:space="preserve">; однако в </w:t>
      </w:r>
      <w:r w:rsidR="00D35DE3">
        <w:rPr>
          <w:sz w:val="28"/>
          <w:szCs w:val="28"/>
        </w:rPr>
        <w:t>85</w:t>
      </w:r>
      <w:r w:rsidRPr="00593D57">
        <w:rPr>
          <w:sz w:val="28"/>
          <w:szCs w:val="28"/>
        </w:rPr>
        <w:t>% случаев место приобретения химического вещества оставалось неопределенным.</w:t>
      </w:r>
    </w:p>
    <w:p w:rsidR="004106A8" w:rsidRPr="00593D57" w:rsidRDefault="00D35DE3" w:rsidP="004106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83 </w:t>
      </w:r>
      <w:r w:rsidR="004106A8" w:rsidRPr="00593D57">
        <w:rPr>
          <w:sz w:val="28"/>
          <w:szCs w:val="28"/>
        </w:rPr>
        <w:t>случа</w:t>
      </w:r>
      <w:r>
        <w:rPr>
          <w:sz w:val="28"/>
          <w:szCs w:val="28"/>
        </w:rPr>
        <w:t>я</w:t>
      </w:r>
      <w:r w:rsidR="004106A8" w:rsidRPr="00593D57">
        <w:rPr>
          <w:sz w:val="28"/>
          <w:szCs w:val="28"/>
        </w:rPr>
        <w:t xml:space="preserve"> острых отравлений химической этиологии носили индивидуальный характер</w:t>
      </w:r>
      <w:r>
        <w:rPr>
          <w:sz w:val="28"/>
          <w:szCs w:val="28"/>
        </w:rPr>
        <w:t xml:space="preserve"> и по 2 случая - характер отравления семейное и групповое</w:t>
      </w:r>
      <w:r w:rsidR="004106A8" w:rsidRPr="00593D57">
        <w:rPr>
          <w:sz w:val="28"/>
          <w:szCs w:val="28"/>
        </w:rPr>
        <w:t xml:space="preserve">. </w:t>
      </w:r>
    </w:p>
    <w:p w:rsidR="004106A8" w:rsidRPr="00593D57" w:rsidRDefault="004106A8" w:rsidP="004106A8">
      <w:pPr>
        <w:ind w:firstLine="709"/>
        <w:jc w:val="both"/>
        <w:rPr>
          <w:sz w:val="28"/>
          <w:szCs w:val="28"/>
        </w:rPr>
      </w:pPr>
      <w:r w:rsidRPr="00593D57">
        <w:rPr>
          <w:sz w:val="28"/>
          <w:szCs w:val="28"/>
        </w:rPr>
        <w:t xml:space="preserve">Анализ территориального распределения острых отравлений химической этиологии свидетельствует, что в </w:t>
      </w:r>
      <w:r w:rsidR="00501CAB">
        <w:rPr>
          <w:sz w:val="28"/>
          <w:szCs w:val="28"/>
        </w:rPr>
        <w:t>3</w:t>
      </w:r>
      <w:r w:rsidRPr="00593D57">
        <w:rPr>
          <w:sz w:val="28"/>
          <w:szCs w:val="28"/>
        </w:rPr>
        <w:t xml:space="preserve"> квартале 201</w:t>
      </w:r>
      <w:r w:rsidR="00501CAB">
        <w:rPr>
          <w:sz w:val="28"/>
          <w:szCs w:val="28"/>
        </w:rPr>
        <w:t>7</w:t>
      </w:r>
      <w:r w:rsidRPr="00593D57">
        <w:rPr>
          <w:sz w:val="28"/>
          <w:szCs w:val="28"/>
        </w:rPr>
        <w:t>г</w:t>
      </w:r>
      <w:r w:rsidR="004C541F">
        <w:rPr>
          <w:sz w:val="28"/>
          <w:szCs w:val="28"/>
        </w:rPr>
        <w:t>ода</w:t>
      </w:r>
      <w:r w:rsidRPr="00593D57">
        <w:rPr>
          <w:sz w:val="28"/>
          <w:szCs w:val="28"/>
        </w:rPr>
        <w:t xml:space="preserve"> на </w:t>
      </w:r>
      <w:r w:rsidR="00501CAB">
        <w:rPr>
          <w:sz w:val="28"/>
          <w:szCs w:val="28"/>
        </w:rPr>
        <w:t>10</w:t>
      </w:r>
      <w:r w:rsidRPr="00593D57">
        <w:rPr>
          <w:sz w:val="28"/>
          <w:szCs w:val="28"/>
        </w:rPr>
        <w:t xml:space="preserve"> административных территориях области (</w:t>
      </w:r>
      <w:proofErr w:type="spellStart"/>
      <w:r w:rsidRPr="00593D57">
        <w:rPr>
          <w:sz w:val="28"/>
          <w:szCs w:val="28"/>
        </w:rPr>
        <w:t>Вохомский</w:t>
      </w:r>
      <w:proofErr w:type="spellEnd"/>
      <w:r w:rsidRPr="00593D57">
        <w:rPr>
          <w:sz w:val="28"/>
          <w:szCs w:val="28"/>
        </w:rPr>
        <w:t xml:space="preserve">, </w:t>
      </w:r>
      <w:r w:rsidR="00593D57" w:rsidRPr="00593D57">
        <w:rPr>
          <w:sz w:val="28"/>
          <w:szCs w:val="28"/>
        </w:rPr>
        <w:t xml:space="preserve"> </w:t>
      </w:r>
      <w:proofErr w:type="spellStart"/>
      <w:r w:rsidRPr="00593D57">
        <w:rPr>
          <w:sz w:val="28"/>
          <w:szCs w:val="28"/>
        </w:rPr>
        <w:t>Кологривский</w:t>
      </w:r>
      <w:proofErr w:type="spellEnd"/>
      <w:r w:rsidRPr="00593D57">
        <w:rPr>
          <w:sz w:val="28"/>
          <w:szCs w:val="28"/>
        </w:rPr>
        <w:t xml:space="preserve">, </w:t>
      </w:r>
      <w:proofErr w:type="spellStart"/>
      <w:r w:rsidRPr="00593D57">
        <w:rPr>
          <w:sz w:val="28"/>
          <w:szCs w:val="28"/>
        </w:rPr>
        <w:t>Павинский</w:t>
      </w:r>
      <w:proofErr w:type="spellEnd"/>
      <w:r w:rsidRPr="00593D57">
        <w:rPr>
          <w:sz w:val="28"/>
          <w:szCs w:val="28"/>
        </w:rPr>
        <w:t>, Октябрьский</w:t>
      </w:r>
      <w:r w:rsidR="00AF6CE6">
        <w:rPr>
          <w:sz w:val="28"/>
          <w:szCs w:val="28"/>
        </w:rPr>
        <w:t xml:space="preserve">, </w:t>
      </w:r>
      <w:proofErr w:type="spellStart"/>
      <w:r w:rsidR="00AF6CE6">
        <w:rPr>
          <w:sz w:val="28"/>
          <w:szCs w:val="28"/>
        </w:rPr>
        <w:t>Сусанинский</w:t>
      </w:r>
      <w:proofErr w:type="spellEnd"/>
      <w:r w:rsidR="00AF6CE6">
        <w:rPr>
          <w:sz w:val="28"/>
          <w:szCs w:val="28"/>
        </w:rPr>
        <w:t>,</w:t>
      </w:r>
      <w:r w:rsidR="00501CAB">
        <w:rPr>
          <w:sz w:val="28"/>
          <w:szCs w:val="28"/>
        </w:rPr>
        <w:t xml:space="preserve"> </w:t>
      </w:r>
      <w:proofErr w:type="spellStart"/>
      <w:r w:rsidR="00501CAB">
        <w:rPr>
          <w:sz w:val="28"/>
          <w:szCs w:val="28"/>
        </w:rPr>
        <w:t>Макарьевский</w:t>
      </w:r>
      <w:proofErr w:type="spellEnd"/>
      <w:r w:rsidR="00501CAB">
        <w:rPr>
          <w:sz w:val="28"/>
          <w:szCs w:val="28"/>
        </w:rPr>
        <w:t xml:space="preserve">, </w:t>
      </w:r>
      <w:proofErr w:type="spellStart"/>
      <w:r w:rsidR="00501CAB">
        <w:rPr>
          <w:sz w:val="28"/>
          <w:szCs w:val="28"/>
        </w:rPr>
        <w:t>Нейский</w:t>
      </w:r>
      <w:proofErr w:type="spellEnd"/>
      <w:r w:rsidR="00501CAB">
        <w:rPr>
          <w:sz w:val="28"/>
          <w:szCs w:val="28"/>
        </w:rPr>
        <w:t xml:space="preserve">, </w:t>
      </w:r>
      <w:proofErr w:type="spellStart"/>
      <w:r w:rsidR="00501CAB">
        <w:rPr>
          <w:sz w:val="28"/>
          <w:szCs w:val="28"/>
        </w:rPr>
        <w:t>Солигаличский</w:t>
      </w:r>
      <w:proofErr w:type="spellEnd"/>
      <w:r w:rsidR="00501CAB">
        <w:rPr>
          <w:sz w:val="28"/>
          <w:szCs w:val="28"/>
        </w:rPr>
        <w:t xml:space="preserve">, </w:t>
      </w:r>
      <w:proofErr w:type="spellStart"/>
      <w:r w:rsidR="00501CAB">
        <w:rPr>
          <w:sz w:val="28"/>
          <w:szCs w:val="28"/>
        </w:rPr>
        <w:t>Межевской</w:t>
      </w:r>
      <w:proofErr w:type="spellEnd"/>
      <w:r w:rsidR="00501CAB">
        <w:rPr>
          <w:sz w:val="28"/>
          <w:szCs w:val="28"/>
        </w:rPr>
        <w:t xml:space="preserve">, </w:t>
      </w:r>
      <w:proofErr w:type="spellStart"/>
      <w:r w:rsidR="00501CAB">
        <w:rPr>
          <w:sz w:val="28"/>
          <w:szCs w:val="28"/>
        </w:rPr>
        <w:t>Пыщугский</w:t>
      </w:r>
      <w:proofErr w:type="spellEnd"/>
      <w:r w:rsidR="00501CAB">
        <w:rPr>
          <w:sz w:val="28"/>
          <w:szCs w:val="28"/>
        </w:rPr>
        <w:t xml:space="preserve"> </w:t>
      </w:r>
      <w:r w:rsidRPr="00593D57">
        <w:rPr>
          <w:sz w:val="28"/>
          <w:szCs w:val="28"/>
        </w:rPr>
        <w:t>районы) случаев отравлений не зарегистрировано.</w:t>
      </w:r>
    </w:p>
    <w:p w:rsidR="00593D57" w:rsidRPr="00502170" w:rsidRDefault="00593D57" w:rsidP="004106A8">
      <w:pPr>
        <w:jc w:val="center"/>
        <w:rPr>
          <w:b/>
        </w:rPr>
      </w:pPr>
    </w:p>
    <w:sectPr w:rsidR="00593D57" w:rsidRPr="00502170" w:rsidSect="005B5E28">
      <w:footerReference w:type="even" r:id="rId11"/>
      <w:footerReference w:type="default" r:id="rId12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ACC" w:rsidRDefault="00071ACC">
      <w:r>
        <w:separator/>
      </w:r>
    </w:p>
  </w:endnote>
  <w:endnote w:type="continuationSeparator" w:id="0">
    <w:p w:rsidR="00071ACC" w:rsidRDefault="00071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21E" w:rsidRDefault="00584476" w:rsidP="00E400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02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021E" w:rsidRDefault="0038021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21E" w:rsidRDefault="00584476" w:rsidP="00E400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021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541F">
      <w:rPr>
        <w:rStyle w:val="a5"/>
        <w:noProof/>
      </w:rPr>
      <w:t>3</w:t>
    </w:r>
    <w:r>
      <w:rPr>
        <w:rStyle w:val="a5"/>
      </w:rPr>
      <w:fldChar w:fldCharType="end"/>
    </w:r>
  </w:p>
  <w:p w:rsidR="0038021E" w:rsidRDefault="0038021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ACC" w:rsidRDefault="00071ACC">
      <w:r>
        <w:separator/>
      </w:r>
    </w:p>
  </w:footnote>
  <w:footnote w:type="continuationSeparator" w:id="0">
    <w:p w:rsidR="00071ACC" w:rsidRDefault="00071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6A8"/>
    <w:rsid w:val="000240EE"/>
    <w:rsid w:val="00033D84"/>
    <w:rsid w:val="00034507"/>
    <w:rsid w:val="00054683"/>
    <w:rsid w:val="000606EB"/>
    <w:rsid w:val="00071ACC"/>
    <w:rsid w:val="000D4601"/>
    <w:rsid w:val="000F6494"/>
    <w:rsid w:val="000F6496"/>
    <w:rsid w:val="0010628E"/>
    <w:rsid w:val="00117FFA"/>
    <w:rsid w:val="00132C4B"/>
    <w:rsid w:val="00154E7C"/>
    <w:rsid w:val="00161231"/>
    <w:rsid w:val="00162C5B"/>
    <w:rsid w:val="00183375"/>
    <w:rsid w:val="001839F7"/>
    <w:rsid w:val="0019211B"/>
    <w:rsid w:val="001D4C33"/>
    <w:rsid w:val="001E065A"/>
    <w:rsid w:val="001F0AD8"/>
    <w:rsid w:val="00207ACF"/>
    <w:rsid w:val="00222494"/>
    <w:rsid w:val="00244266"/>
    <w:rsid w:val="00254E1B"/>
    <w:rsid w:val="00277D62"/>
    <w:rsid w:val="002923F2"/>
    <w:rsid w:val="002A7B72"/>
    <w:rsid w:val="00360262"/>
    <w:rsid w:val="00376B51"/>
    <w:rsid w:val="0038021E"/>
    <w:rsid w:val="00407B9B"/>
    <w:rsid w:val="004106A8"/>
    <w:rsid w:val="00410E39"/>
    <w:rsid w:val="00410FB9"/>
    <w:rsid w:val="00425FF7"/>
    <w:rsid w:val="00435856"/>
    <w:rsid w:val="00452303"/>
    <w:rsid w:val="00461522"/>
    <w:rsid w:val="00462D2C"/>
    <w:rsid w:val="004723E5"/>
    <w:rsid w:val="00494344"/>
    <w:rsid w:val="004C45CA"/>
    <w:rsid w:val="004C541F"/>
    <w:rsid w:val="004C7873"/>
    <w:rsid w:val="00501CAB"/>
    <w:rsid w:val="00502170"/>
    <w:rsid w:val="00550E2C"/>
    <w:rsid w:val="0055300E"/>
    <w:rsid w:val="00554551"/>
    <w:rsid w:val="005713CD"/>
    <w:rsid w:val="00584476"/>
    <w:rsid w:val="00585C1B"/>
    <w:rsid w:val="00586B4E"/>
    <w:rsid w:val="00593D57"/>
    <w:rsid w:val="005B5E28"/>
    <w:rsid w:val="005D0F06"/>
    <w:rsid w:val="005E1027"/>
    <w:rsid w:val="005E2B9E"/>
    <w:rsid w:val="005F588A"/>
    <w:rsid w:val="00607CC2"/>
    <w:rsid w:val="00627795"/>
    <w:rsid w:val="006402BF"/>
    <w:rsid w:val="0066026A"/>
    <w:rsid w:val="00667B7E"/>
    <w:rsid w:val="006845D6"/>
    <w:rsid w:val="006A6BBB"/>
    <w:rsid w:val="006C5B25"/>
    <w:rsid w:val="006C6F6F"/>
    <w:rsid w:val="006E25FF"/>
    <w:rsid w:val="006F23F3"/>
    <w:rsid w:val="006F679A"/>
    <w:rsid w:val="006F6BB1"/>
    <w:rsid w:val="00796F3B"/>
    <w:rsid w:val="007A43C6"/>
    <w:rsid w:val="007E41A5"/>
    <w:rsid w:val="00814D08"/>
    <w:rsid w:val="00871DB2"/>
    <w:rsid w:val="0087335B"/>
    <w:rsid w:val="0092192B"/>
    <w:rsid w:val="00935710"/>
    <w:rsid w:val="009758AF"/>
    <w:rsid w:val="009A0E91"/>
    <w:rsid w:val="009B2AA9"/>
    <w:rsid w:val="009C1EEC"/>
    <w:rsid w:val="009D65F1"/>
    <w:rsid w:val="00A206C9"/>
    <w:rsid w:val="00A22F89"/>
    <w:rsid w:val="00A267C1"/>
    <w:rsid w:val="00A51664"/>
    <w:rsid w:val="00A60F87"/>
    <w:rsid w:val="00A60FEB"/>
    <w:rsid w:val="00A6783A"/>
    <w:rsid w:val="00A92DD0"/>
    <w:rsid w:val="00AD27DA"/>
    <w:rsid w:val="00AE549C"/>
    <w:rsid w:val="00AF6CE6"/>
    <w:rsid w:val="00B30CA9"/>
    <w:rsid w:val="00B507B0"/>
    <w:rsid w:val="00B769CF"/>
    <w:rsid w:val="00B909AA"/>
    <w:rsid w:val="00B960E9"/>
    <w:rsid w:val="00BA62EC"/>
    <w:rsid w:val="00BE5C8C"/>
    <w:rsid w:val="00BF4796"/>
    <w:rsid w:val="00C00CF9"/>
    <w:rsid w:val="00C03298"/>
    <w:rsid w:val="00C20F3A"/>
    <w:rsid w:val="00C25905"/>
    <w:rsid w:val="00C52908"/>
    <w:rsid w:val="00C5440E"/>
    <w:rsid w:val="00C64703"/>
    <w:rsid w:val="00CA577F"/>
    <w:rsid w:val="00CB16BB"/>
    <w:rsid w:val="00CB67E4"/>
    <w:rsid w:val="00CE0742"/>
    <w:rsid w:val="00D06EBD"/>
    <w:rsid w:val="00D23338"/>
    <w:rsid w:val="00D35DE3"/>
    <w:rsid w:val="00D86EA7"/>
    <w:rsid w:val="00DA7112"/>
    <w:rsid w:val="00DB3B18"/>
    <w:rsid w:val="00DD6A1B"/>
    <w:rsid w:val="00DE23D9"/>
    <w:rsid w:val="00DE2CCF"/>
    <w:rsid w:val="00DE373A"/>
    <w:rsid w:val="00DF6491"/>
    <w:rsid w:val="00E3533A"/>
    <w:rsid w:val="00E40081"/>
    <w:rsid w:val="00E60FC1"/>
    <w:rsid w:val="00E661AD"/>
    <w:rsid w:val="00E67D46"/>
    <w:rsid w:val="00E909A9"/>
    <w:rsid w:val="00EA7DD2"/>
    <w:rsid w:val="00EB79D7"/>
    <w:rsid w:val="00EC24D4"/>
    <w:rsid w:val="00F04660"/>
    <w:rsid w:val="00F133C3"/>
    <w:rsid w:val="00F577CD"/>
    <w:rsid w:val="00FA0CC2"/>
    <w:rsid w:val="00FB2465"/>
    <w:rsid w:val="00FE48B4"/>
    <w:rsid w:val="00FE7A98"/>
    <w:rsid w:val="00FF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106A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106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06A8"/>
  </w:style>
  <w:style w:type="paragraph" w:styleId="2">
    <w:name w:val="Body Text 2"/>
    <w:basedOn w:val="a"/>
    <w:link w:val="20"/>
    <w:rsid w:val="004106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10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4106A8"/>
    <w:pPr>
      <w:suppressLineNumbers/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kern w:val="24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4106A8"/>
    <w:rPr>
      <w:rFonts w:ascii="Times New Roman" w:eastAsia="Times New Roman" w:hAnsi="Times New Roman" w:cs="Times New Roman"/>
      <w:kern w:val="24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06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06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4;&#1080;&#1096;&#1091;&#1083;&#1080;&#1085;&#1072;\&#1052;&#1054;&#1053;&#1048;&#1058;&#1054;&#1056;&#1048;&#1053;&#1043;\&#1058;&#1086;&#1082;&#1089;&#1080;&#1082;&#1086;&#1083;&#1086;&#1075;&#1080;&#1095;&#1077;&#1089;&#1082;&#1080;&#1081;%20&#1084;&#1086;&#1085;&#1080;&#1090;&#1086;&#1088;&#1080;&#1085;&#1075;\&#1076;&#1080;&#1072;&#1075;&#1088;&#1072;&#1084;&#1084;&#1072;%20&#1082;%20&#1072;&#1085;&#1072;&#1083;&#1080;&#1079;&#1091;%20&#1090;&#1086;&#1082;&#1089;&#1080;&#1082;&#1086;&#1083;&#1086;&#1075;.&#1084;&#1086;&#1085;&#1080;&#1090;&#1086;&#1088;&#1080;&#1085;&#1075;&#1091;%202015%20&#1075;&#1086;&#1076;!!!!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4;&#1080;&#1096;&#1091;&#1083;&#1080;&#1085;&#1072;\&#1052;&#1054;&#1053;&#1048;&#1058;&#1054;&#1056;&#1048;&#1053;&#1043;\&#1058;&#1086;&#1082;&#1089;&#1080;&#1082;&#1086;&#1083;&#1086;&#1075;&#1080;&#1095;&#1077;&#1089;&#1082;&#1080;&#1081;%20&#1084;&#1086;&#1085;&#1080;&#1090;&#1086;&#1088;&#1080;&#1085;&#1075;\&#1076;&#1080;&#1072;&#1075;&#1088;&#1072;&#1084;&#1084;&#1072;%20&#1082;%20&#1072;&#1085;&#1072;&#1083;&#1080;&#1079;&#1091;%20&#1090;&#1086;&#1082;&#1089;&#1080;&#1082;&#1086;&#1083;&#1086;&#1075;.&#1084;&#1086;&#1085;&#1080;&#1090;&#1086;&#1088;&#1080;&#1085;&#1075;&#1091;%202015%20&#1075;&#1086;&#1076;!!!!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4;&#1080;&#1096;&#1091;&#1083;&#1080;&#1085;&#1072;\&#1052;&#1054;&#1053;&#1048;&#1058;&#1054;&#1056;&#1048;&#1053;&#1043;\&#1058;&#1086;&#1082;&#1089;&#1080;&#1082;&#1086;&#1083;&#1086;&#1075;&#1080;&#1095;&#1077;&#1089;&#1082;&#1080;&#1081;%20&#1084;&#1086;&#1085;&#1080;&#1090;&#1086;&#1088;&#1080;&#1085;&#1075;\&#1076;&#1080;&#1072;&#1075;&#1088;&#1072;&#1084;&#1084;&#1072;%20&#1082;%20&#1072;&#1085;&#1072;&#1083;&#1080;&#1079;&#1091;%20&#1090;&#1086;&#1082;&#1089;&#1080;&#1082;&#1086;&#1083;&#1086;&#1075;.&#1084;&#1086;&#1085;&#1080;&#1090;&#1086;&#1088;&#1080;&#1085;&#1075;&#1091;%202015%20&#1075;&#1086;&#1076;!!!!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4;&#1080;&#1096;&#1091;&#1083;&#1080;&#1085;&#1072;\&#1052;&#1054;&#1053;&#1048;&#1058;&#1054;&#1056;&#1048;&#1053;&#1043;\&#1058;&#1086;&#1082;&#1089;&#1080;&#1082;&#1086;&#1083;&#1086;&#1075;&#1080;&#1095;&#1077;&#1089;&#1082;&#1080;&#1081;%20&#1084;&#1086;&#1085;&#1080;&#1090;&#1086;&#1088;&#1080;&#1085;&#1075;\&#1076;&#1080;&#1072;&#1075;&#1088;&#1072;&#1084;&#1084;&#1072;%20&#1082;%20&#1072;&#1085;&#1072;&#1083;&#1080;&#1079;&#1091;%20&#1090;&#1086;&#1082;&#1089;&#1080;&#1082;&#1086;&#1083;&#1086;&#1075;.&#1084;&#1086;&#1085;&#1080;&#1090;&#1086;&#1088;&#1080;&#1085;&#1075;&#1091;%202015%20&#1075;&#1086;&#1076;!!!!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Лист2!$A$6</c:f>
              <c:strCache>
                <c:ptCount val="1"/>
                <c:pt idx="0">
                  <c:v>острые отравления химической этиологии</c:v>
                </c:pt>
              </c:strCache>
            </c:strRef>
          </c:tx>
          <c:spPr>
            <a:solidFill>
              <a:srgbClr val="7030A0"/>
            </a:solidFill>
          </c:spPr>
          <c:dLbls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Лист2!$B$5:$G$5</c:f>
              <c:strCache>
                <c:ptCount val="5"/>
                <c:pt idx="1">
                  <c:v>3 кв.2014г.</c:v>
                </c:pt>
                <c:pt idx="2">
                  <c:v>3 кв.2015г.</c:v>
                </c:pt>
                <c:pt idx="3">
                  <c:v>3 кв.2016г</c:v>
                </c:pt>
                <c:pt idx="4">
                  <c:v>3 кв.2017г</c:v>
                </c:pt>
              </c:strCache>
            </c:strRef>
          </c:cat>
          <c:val>
            <c:numRef>
              <c:f>Лист2!$B$6:$G$6</c:f>
              <c:numCache>
                <c:formatCode>General</c:formatCode>
                <c:ptCount val="5"/>
                <c:pt idx="1">
                  <c:v>13.6</c:v>
                </c:pt>
                <c:pt idx="2">
                  <c:v>10.5</c:v>
                </c:pt>
                <c:pt idx="3">
                  <c:v>16.3</c:v>
                </c:pt>
                <c:pt idx="4">
                  <c:v>13.4</c:v>
                </c:pt>
              </c:numCache>
            </c:numRef>
          </c:val>
        </c:ser>
        <c:ser>
          <c:idx val="1"/>
          <c:order val="1"/>
          <c:tx>
            <c:strRef>
              <c:f>Лист2!$A$7</c:f>
              <c:strCache>
                <c:ptCount val="1"/>
                <c:pt idx="0">
                  <c:v>из них с летальным исходом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dLbl>
              <c:idx val="0"/>
              <c:layout>
                <c:manualLayout>
                  <c:x val="2.0761249445776404E-2"/>
                  <c:y val="-8.9786756453423145E-3"/>
                </c:manualLayout>
              </c:layout>
              <c:showVal val="1"/>
            </c:dLbl>
            <c:dLbl>
              <c:idx val="1"/>
              <c:layout>
                <c:manualLayout>
                  <c:x val="1.6147638457826061E-2"/>
                  <c:y val="-1.795735129068465E-2"/>
                </c:manualLayout>
              </c:layout>
              <c:showVal val="1"/>
            </c:dLbl>
            <c:dLbl>
              <c:idx val="2"/>
              <c:layout>
                <c:manualLayout>
                  <c:x val="1.8454443951801198E-2"/>
                  <c:y val="-1.3468013468013471E-2"/>
                </c:manualLayout>
              </c:layout>
              <c:showVal val="1"/>
            </c:dLbl>
            <c:dLbl>
              <c:idx val="3"/>
              <c:layout>
                <c:manualLayout>
                  <c:x val="2.0761249445776404E-2"/>
                  <c:y val="-1.3468013468013471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Лист2!$B$5:$G$5</c:f>
              <c:strCache>
                <c:ptCount val="5"/>
                <c:pt idx="1">
                  <c:v>3 кв.2014г.</c:v>
                </c:pt>
                <c:pt idx="2">
                  <c:v>3 кв.2015г.</c:v>
                </c:pt>
                <c:pt idx="3">
                  <c:v>3 кв.2016г</c:v>
                </c:pt>
                <c:pt idx="4">
                  <c:v>3 кв.2017г</c:v>
                </c:pt>
              </c:strCache>
            </c:strRef>
          </c:cat>
          <c:val>
            <c:numRef>
              <c:f>Лист2!$B$7:$G$7</c:f>
              <c:numCache>
                <c:formatCode>General</c:formatCode>
                <c:ptCount val="5"/>
                <c:pt idx="1">
                  <c:v>7.9</c:v>
                </c:pt>
                <c:pt idx="2">
                  <c:v>5.8</c:v>
                </c:pt>
                <c:pt idx="3">
                  <c:v>7.9</c:v>
                </c:pt>
                <c:pt idx="4">
                  <c:v>6.3</c:v>
                </c:pt>
              </c:numCache>
            </c:numRef>
          </c:val>
        </c:ser>
        <c:shape val="box"/>
        <c:axId val="92354816"/>
        <c:axId val="92430720"/>
        <c:axId val="0"/>
      </c:bar3DChart>
      <c:catAx>
        <c:axId val="92354816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2430720"/>
        <c:crosses val="autoZero"/>
        <c:auto val="1"/>
        <c:lblAlgn val="ctr"/>
        <c:lblOffset val="100"/>
      </c:catAx>
      <c:valAx>
        <c:axId val="92430720"/>
        <c:scaling>
          <c:orientation val="minMax"/>
        </c:scaling>
        <c:axPos val="l"/>
        <c:majorGridlines/>
        <c:numFmt formatCode="General" sourceLinked="1"/>
        <c:tickLblPos val="nextTo"/>
        <c:crossAx val="92354816"/>
        <c:crosses val="autoZero"/>
        <c:crossBetween val="between"/>
      </c:valAx>
      <c:spPr>
        <a:ln w="19050">
          <a:prstDash val="sysDot"/>
        </a:ln>
      </c:spPr>
    </c:plotArea>
    <c:legend>
      <c:legendPos val="r"/>
      <c:layout>
        <c:manualLayout>
          <c:xMode val="edge"/>
          <c:yMode val="edge"/>
          <c:x val="0.65021926458677681"/>
          <c:y val="4.4125595411684662E-2"/>
          <c:w val="0.33436655211954658"/>
          <c:h val="0.88733776964748057"/>
        </c:manualLayout>
      </c:layout>
      <c:txPr>
        <a:bodyPr/>
        <a:lstStyle/>
        <a:p>
          <a:pPr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 w="19050"/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10"/>
      <c:depthPercent val="17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Лист2!$A$94</c:f>
              <c:strCache>
                <c:ptCount val="1"/>
                <c:pt idx="0">
                  <c:v>Отравления спиртосодержащей продукцией</c:v>
                </c:pt>
              </c:strCache>
            </c:strRef>
          </c:tx>
          <c:spPr>
            <a:solidFill>
              <a:srgbClr val="00B0F0"/>
            </a:solidFill>
          </c:spP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Лист2!$B$93:$F$93</c:f>
              <c:strCache>
                <c:ptCount val="4"/>
                <c:pt idx="0">
                  <c:v>3кв. 2014г</c:v>
                </c:pt>
                <c:pt idx="1">
                  <c:v>3кв. 2015г</c:v>
                </c:pt>
                <c:pt idx="2">
                  <c:v>3кв. 2016г</c:v>
                </c:pt>
                <c:pt idx="3">
                  <c:v>3кв. 2017г</c:v>
                </c:pt>
              </c:strCache>
            </c:strRef>
          </c:cat>
          <c:val>
            <c:numRef>
              <c:f>Лист2!$B$94:$F$94</c:f>
              <c:numCache>
                <c:formatCode>General</c:formatCode>
                <c:ptCount val="4"/>
                <c:pt idx="0">
                  <c:v>51.7</c:v>
                </c:pt>
                <c:pt idx="1">
                  <c:v>43.5</c:v>
                </c:pt>
                <c:pt idx="2">
                  <c:v>55.7</c:v>
                </c:pt>
                <c:pt idx="3">
                  <c:v>50.6</c:v>
                </c:pt>
              </c:numCache>
            </c:numRef>
          </c:val>
        </c:ser>
        <c:ser>
          <c:idx val="1"/>
          <c:order val="1"/>
          <c:tx>
            <c:strRef>
              <c:f>Лист2!$A$95</c:f>
              <c:strCache>
                <c:ptCount val="1"/>
                <c:pt idx="0">
                  <c:v>Отравления наркотическими веществами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Лист2!$B$93:$F$93</c:f>
              <c:strCache>
                <c:ptCount val="4"/>
                <c:pt idx="0">
                  <c:v>3кв. 2014г</c:v>
                </c:pt>
                <c:pt idx="1">
                  <c:v>3кв. 2015г</c:v>
                </c:pt>
                <c:pt idx="2">
                  <c:v>3кв. 2016г</c:v>
                </c:pt>
                <c:pt idx="3">
                  <c:v>3кв. 2017г</c:v>
                </c:pt>
              </c:strCache>
            </c:strRef>
          </c:cat>
          <c:val>
            <c:numRef>
              <c:f>Лист2!$B$95:$F$95</c:f>
              <c:numCache>
                <c:formatCode>General</c:formatCode>
                <c:ptCount val="4"/>
                <c:pt idx="0">
                  <c:v>4.5</c:v>
                </c:pt>
                <c:pt idx="1">
                  <c:v>8.7000000000000011</c:v>
                </c:pt>
                <c:pt idx="2">
                  <c:v>0.9</c:v>
                </c:pt>
                <c:pt idx="3">
                  <c:v>3.4</c:v>
                </c:pt>
              </c:numCache>
            </c:numRef>
          </c:val>
        </c:ser>
        <c:ser>
          <c:idx val="2"/>
          <c:order val="2"/>
          <c:tx>
            <c:strRef>
              <c:f>Лист2!$A$96</c:f>
              <c:strCache>
                <c:ptCount val="1"/>
                <c:pt idx="0">
                  <c:v>Отравления лекарственными веществами</c:v>
                </c:pt>
              </c:strCache>
            </c:strRef>
          </c:tx>
          <c:spPr>
            <a:solidFill>
              <a:srgbClr val="92D050"/>
            </a:solidFill>
          </c:spPr>
          <c:dLbls>
            <c:dLbl>
              <c:idx val="2"/>
              <c:layout>
                <c:manualLayout>
                  <c:x val="-6.1538461538461573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Лист2!$B$93:$F$93</c:f>
              <c:strCache>
                <c:ptCount val="4"/>
                <c:pt idx="0">
                  <c:v>3кв. 2014г</c:v>
                </c:pt>
                <c:pt idx="1">
                  <c:v>3кв. 2015г</c:v>
                </c:pt>
                <c:pt idx="2">
                  <c:v>3кв. 2016г</c:v>
                </c:pt>
                <c:pt idx="3">
                  <c:v>3кв. 2017г</c:v>
                </c:pt>
              </c:strCache>
            </c:strRef>
          </c:cat>
          <c:val>
            <c:numRef>
              <c:f>Лист2!$B$96:$F$96</c:f>
              <c:numCache>
                <c:formatCode>General</c:formatCode>
                <c:ptCount val="4"/>
                <c:pt idx="0">
                  <c:v>19.100000000000001</c:v>
                </c:pt>
                <c:pt idx="1">
                  <c:v>31.9</c:v>
                </c:pt>
                <c:pt idx="2">
                  <c:v>21.7</c:v>
                </c:pt>
                <c:pt idx="3">
                  <c:v>19.5</c:v>
                </c:pt>
              </c:numCache>
            </c:numRef>
          </c:val>
        </c:ser>
        <c:ser>
          <c:idx val="3"/>
          <c:order val="3"/>
          <c:tx>
            <c:strRef>
              <c:f>Лист2!$A$97</c:f>
              <c:strCache>
                <c:ptCount val="1"/>
                <c:pt idx="0">
                  <c:v>Прочие отравления (товарами бытового назначения, угарным газом, уксусной кислотой, ядом животного происхождения и др.)</c:v>
                </c:pt>
              </c:strCache>
            </c:strRef>
          </c:tx>
          <c:spPr>
            <a:solidFill>
              <a:srgbClr val="7030A0"/>
            </a:solidFill>
          </c:spPr>
          <c:dLbls>
            <c:dLbl>
              <c:idx val="2"/>
              <c:layout>
                <c:manualLayout>
                  <c:x val="1.0256410256410263E-2"/>
                  <c:y val="-8.3073727933541015E-3"/>
                </c:manualLayout>
              </c:layout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Лист2!$B$93:$F$93</c:f>
              <c:strCache>
                <c:ptCount val="4"/>
                <c:pt idx="0">
                  <c:v>3кв. 2014г</c:v>
                </c:pt>
                <c:pt idx="1">
                  <c:v>3кв. 2015г</c:v>
                </c:pt>
                <c:pt idx="2">
                  <c:v>3кв. 2016г</c:v>
                </c:pt>
                <c:pt idx="3">
                  <c:v>3кв. 2017г</c:v>
                </c:pt>
              </c:strCache>
            </c:strRef>
          </c:cat>
          <c:val>
            <c:numRef>
              <c:f>Лист2!$B$97:$F$97</c:f>
              <c:numCache>
                <c:formatCode>General</c:formatCode>
                <c:ptCount val="4"/>
                <c:pt idx="0">
                  <c:v>24.7</c:v>
                </c:pt>
                <c:pt idx="1">
                  <c:v>14.5</c:v>
                </c:pt>
                <c:pt idx="2">
                  <c:v>21.7</c:v>
                </c:pt>
                <c:pt idx="3">
                  <c:v>25.3</c:v>
                </c:pt>
              </c:numCache>
            </c:numRef>
          </c:val>
        </c:ser>
        <c:shape val="cylinder"/>
        <c:axId val="77449472"/>
        <c:axId val="77455360"/>
        <c:axId val="0"/>
      </c:bar3DChart>
      <c:catAx>
        <c:axId val="77449472"/>
        <c:scaling>
          <c:orientation val="minMax"/>
        </c:scaling>
        <c:axPos val="b"/>
        <c:tickLblPos val="nextTo"/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7455360"/>
        <c:crosses val="autoZero"/>
        <c:auto val="1"/>
        <c:lblAlgn val="ctr"/>
        <c:lblOffset val="100"/>
      </c:catAx>
      <c:valAx>
        <c:axId val="7745536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74494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188516050878296"/>
          <c:y val="3.9784875179821398E-2"/>
          <c:w val="0.36811467797294617"/>
          <c:h val="0.96021509763069168"/>
        </c:manualLayout>
      </c:layout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scene3d>
      <a:camera prst="orthographicFront"/>
      <a:lightRig rig="threePt" dir="t"/>
    </a:scene3d>
    <a:sp3d prstMaterial="plastic">
      <a:bevelT w="152400" h="50800" prst="softRound"/>
      <a:bevelB w="101600"/>
    </a:sp3d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2 квартал 2017г</a:t>
            </a:r>
          </a:p>
        </c:rich>
      </c:tx>
      <c:layout>
        <c:manualLayout>
          <c:xMode val="edge"/>
          <c:yMode val="edge"/>
          <c:x val="0.25643387141099011"/>
          <c:y val="0.82870370370370372"/>
        </c:manualLayout>
      </c:layout>
    </c:title>
    <c:view3D>
      <c:rotX val="20"/>
      <c:perspective val="30"/>
    </c:view3D>
    <c:plotArea>
      <c:layout>
        <c:manualLayout>
          <c:layoutTarget val="inner"/>
          <c:xMode val="edge"/>
          <c:yMode val="edge"/>
          <c:x val="1.1765770657978046E-4"/>
          <c:y val="9.5122663238523752E-2"/>
          <c:w val="0.65421327721965794"/>
          <c:h val="0.79404976163693819"/>
        </c:manualLayout>
      </c:layout>
      <c:pie3DChart>
        <c:varyColors val="1"/>
        <c:ser>
          <c:idx val="1"/>
          <c:order val="1"/>
          <c:tx>
            <c:strRef>
              <c:f>Лист2!$C$119</c:f>
              <c:strCache>
                <c:ptCount val="1"/>
                <c:pt idx="0">
                  <c:v>2 кв. 2017г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6037237175418423"/>
                  <c:y val="5.232309537466757E-3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2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0.12459319421573656"/>
                  <c:y val="-0.12801548111570829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2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3"/>
              <c:layout>
                <c:manualLayout>
                  <c:x val="2.2973673043678988E-2"/>
                  <c:y val="1.0876521790708393E-2"/>
                </c:manualLayout>
              </c:layout>
              <c:showVal val="1"/>
            </c:dLbl>
            <c:spPr>
              <a:noFill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Лист2!$A$120:$A$123</c:f>
              <c:strCache>
                <c:ptCount val="4"/>
                <c:pt idx="0">
                  <c:v>Летальный исход от отравления спиртосодержащей продукцией</c:v>
                </c:pt>
                <c:pt idx="1">
                  <c:v>Летальный исход от отравления наркотическими веществами</c:v>
                </c:pt>
                <c:pt idx="2">
                  <c:v>Летальный исход от отравления лекарственными средствами </c:v>
                </c:pt>
                <c:pt idx="3">
                  <c:v>Летальный исход по причине прочих отравлений (товарами бытового назначения, угарным газом, уксусной кислотой, ядом животного происхождения и др.)</c:v>
                </c:pt>
              </c:strCache>
            </c:strRef>
          </c:cat>
          <c:val>
            <c:numRef>
              <c:f>Лист2!$C$120:$C$123</c:f>
              <c:numCache>
                <c:formatCode>General</c:formatCode>
                <c:ptCount val="4"/>
                <c:pt idx="0">
                  <c:v>89.8</c:v>
                </c:pt>
                <c:pt idx="1">
                  <c:v>100</c:v>
                </c:pt>
                <c:pt idx="2">
                  <c:v>5.9</c:v>
                </c:pt>
                <c:pt idx="3">
                  <c:v>13</c:v>
                </c:pt>
              </c:numCache>
            </c:numRef>
          </c:val>
        </c:ser>
        <c:ser>
          <c:idx val="0"/>
          <c:order val="0"/>
          <c:tx>
            <c:strRef>
              <c:f>Лист2!$B$119</c:f>
              <c:strCache>
                <c:ptCount val="1"/>
                <c:pt idx="0">
                  <c:v>3кв. 2014г</c:v>
                </c:pt>
              </c:strCache>
            </c:strRef>
          </c:tx>
          <c:explosion val="25"/>
          <c:cat>
            <c:strRef>
              <c:f>Лист2!$A$120:$A$123</c:f>
              <c:strCache>
                <c:ptCount val="4"/>
                <c:pt idx="0">
                  <c:v>Летальный исход от отравления спиртосодержащей продукцией</c:v>
                </c:pt>
                <c:pt idx="1">
                  <c:v>Летальный исход от отравления наркотическими веществами</c:v>
                </c:pt>
                <c:pt idx="2">
                  <c:v>Летальный исход от отравления лекарственными средствами </c:v>
                </c:pt>
                <c:pt idx="3">
                  <c:v>Летальный исход по причине прочих отравлений (товарами бытового назначения, угарным газом, уксусной кислотой, ядом животного происхождения и др.)</c:v>
                </c:pt>
              </c:strCache>
            </c:strRef>
          </c:cat>
          <c:val>
            <c:numRef>
              <c:f>Лист2!$B$120:$B$123</c:f>
            </c:numRef>
          </c:val>
        </c:ser>
      </c:pie3DChart>
    </c:plotArea>
    <c:legend>
      <c:legendPos val="r"/>
      <c:layout>
        <c:manualLayout>
          <c:xMode val="edge"/>
          <c:yMode val="edge"/>
          <c:x val="0.63004728984040392"/>
          <c:y val="9.9806794983960216E-3"/>
          <c:w val="0.36888843142973177"/>
          <c:h val="0.99001929394587262"/>
        </c:manualLayout>
      </c:layout>
      <c:txPr>
        <a:bodyPr/>
        <a:lstStyle/>
        <a:p>
          <a:pPr>
            <a:defRPr sz="8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 w="19050"/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3 квартал 2017г</a:t>
            </a:r>
          </a:p>
        </c:rich>
      </c:tx>
      <c:layout>
        <c:manualLayout>
          <c:xMode val="edge"/>
          <c:yMode val="edge"/>
          <c:x val="0.21763592308163129"/>
          <c:y val="0.81183932346723042"/>
        </c:manualLayout>
      </c:layout>
    </c:title>
    <c:view3D>
      <c:rotX val="20"/>
      <c:rotY val="20"/>
      <c:perspective val="30"/>
    </c:view3D>
    <c:plotArea>
      <c:layout>
        <c:manualLayout>
          <c:layoutTarget val="inner"/>
          <c:xMode val="edge"/>
          <c:yMode val="edge"/>
          <c:x val="0"/>
          <c:y val="6.8924493487038024E-2"/>
          <c:w val="0.62318490503647683"/>
          <c:h val="0.81064532826668179"/>
        </c:manualLayout>
      </c:layout>
      <c:pie3DChart>
        <c:varyColors val="1"/>
        <c:ser>
          <c:idx val="0"/>
          <c:order val="0"/>
          <c:tx>
            <c:strRef>
              <c:f>Лист2!$C$126</c:f>
              <c:strCache>
                <c:ptCount val="1"/>
                <c:pt idx="0">
                  <c:v>3 кв. 2017г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1840323457510214"/>
                  <c:y val="-7.728831993252433E-2"/>
                </c:manualLayout>
              </c:layout>
              <c:showVal val="1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Лист2!$A$127:$B$130</c:f>
              <c:strCache>
                <c:ptCount val="4"/>
                <c:pt idx="0">
                  <c:v>Летальный исход от отравления спиртосодержащей продукцией</c:v>
                </c:pt>
                <c:pt idx="1">
                  <c:v>Летальный исход от отравления наркотическими веществами</c:v>
                </c:pt>
                <c:pt idx="2">
                  <c:v>Летальный исход от отравления лекарственными средствами </c:v>
                </c:pt>
                <c:pt idx="3">
                  <c:v>Летальный исход по причине прочих отравлений (товарами бытового назначения, угарным газом, уксусной кислотой, ядом животного происхождения и др.)</c:v>
                </c:pt>
              </c:strCache>
            </c:strRef>
          </c:cat>
          <c:val>
            <c:numRef>
              <c:f>Лист2!$C$127:$C$130</c:f>
              <c:numCache>
                <c:formatCode>General</c:formatCode>
                <c:ptCount val="4"/>
                <c:pt idx="0">
                  <c:v>77.3</c:v>
                </c:pt>
                <c:pt idx="1">
                  <c:v>100</c:v>
                </c:pt>
                <c:pt idx="2">
                  <c:v>0</c:v>
                </c:pt>
                <c:pt idx="3">
                  <c:v>17.899999999999999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3809725519668004"/>
          <c:y val="0"/>
          <c:w val="0.36190274480332041"/>
          <c:h val="1"/>
        </c:manualLayout>
      </c:layout>
      <c:txPr>
        <a:bodyPr/>
        <a:lstStyle/>
        <a:p>
          <a:pPr>
            <a:defRPr sz="8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 w="19050"/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D7B59-8A30-46F8-87EB-8C430FD7A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RPN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отдела СГМ</dc:creator>
  <cp:keywords/>
  <dc:description/>
  <cp:lastModifiedBy>Сотрудник отдела СГМ</cp:lastModifiedBy>
  <cp:revision>3</cp:revision>
  <cp:lastPrinted>2015-07-20T12:24:00Z</cp:lastPrinted>
  <dcterms:created xsi:type="dcterms:W3CDTF">2017-10-30T10:54:00Z</dcterms:created>
  <dcterms:modified xsi:type="dcterms:W3CDTF">2017-11-01T07:44:00Z</dcterms:modified>
</cp:coreProperties>
</file>