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7" w:rsidRPr="0037267F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7267F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D60077" w:rsidRP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D60077" w:rsidRP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600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УПРАВЛЕНИЕ ФЕДЕРАЛЬНОЙ СЛУЖБЫ ПО НАДЗОРУ В СФЕРЕ</w:t>
      </w:r>
    </w:p>
    <w:p w:rsidR="00D60077" w:rsidRP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600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ЗАЩИТЫ ПРАВ ПОТРЕБИТЕЛЕЙ И БЛАГОПОЛУЧИЯ ЧЕЛОВЕКА</w:t>
      </w: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D600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ПО К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ОСТРОМ</w:t>
      </w:r>
      <w:r w:rsidRPr="00D600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СКОЙ ОБЛАСТИ</w:t>
      </w: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37267F" w:rsidRDefault="0037267F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37267F" w:rsidRDefault="0037267F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37267F" w:rsidRDefault="0037267F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CC252B" w:rsidRDefault="00CC252B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37267F" w:rsidRDefault="0037267F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D60077" w:rsidRP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BC498A">
        <w:rPr>
          <w:rFonts w:ascii="Times New Roman" w:eastAsia="TimesNewRomanPSMT" w:hAnsi="Times New Roman" w:cs="Times New Roman"/>
          <w:b/>
          <w:bCs/>
          <w:sz w:val="32"/>
          <w:szCs w:val="32"/>
        </w:rPr>
        <w:t>ИНФОРМАЦИОННЫЙ БЮЛЛЕТЕНЬ</w:t>
      </w:r>
    </w:p>
    <w:p w:rsidR="0037267F" w:rsidRPr="00BC498A" w:rsidRDefault="0037267F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D60077" w:rsidRPr="00BC498A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  <w:r w:rsidRPr="00BC498A">
        <w:rPr>
          <w:rFonts w:ascii="Times New Roman" w:eastAsia="TimesNewRomanPS-BoldMT" w:hAnsi="Times New Roman" w:cs="Times New Roman"/>
          <w:b/>
          <w:bCs/>
          <w:sz w:val="40"/>
          <w:szCs w:val="40"/>
        </w:rPr>
        <w:t>Острые отравления химической этиологии в быту</w:t>
      </w:r>
    </w:p>
    <w:p w:rsidR="00D60077" w:rsidRPr="00BC498A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  <w:r w:rsidRPr="00BC498A">
        <w:rPr>
          <w:rFonts w:ascii="Times New Roman" w:eastAsia="TimesNewRomanPS-BoldMT" w:hAnsi="Times New Roman" w:cs="Times New Roman"/>
          <w:b/>
          <w:bCs/>
          <w:sz w:val="40"/>
          <w:szCs w:val="40"/>
        </w:rPr>
        <w:t>среди населения Костромской области</w:t>
      </w:r>
    </w:p>
    <w:p w:rsidR="00D60077" w:rsidRPr="00BC498A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  <w:r w:rsidRPr="00BC498A">
        <w:rPr>
          <w:rFonts w:ascii="Times New Roman" w:eastAsia="TimesNewRomanPS-BoldMT" w:hAnsi="Times New Roman" w:cs="Times New Roman"/>
          <w:b/>
          <w:bCs/>
          <w:sz w:val="40"/>
          <w:szCs w:val="40"/>
        </w:rPr>
        <w:t xml:space="preserve">в </w:t>
      </w:r>
      <w:r w:rsidR="00FF4794">
        <w:rPr>
          <w:rFonts w:ascii="Times New Roman" w:eastAsia="TimesNewRomanPSMT" w:hAnsi="Times New Roman" w:cs="Times New Roman"/>
          <w:b/>
          <w:bCs/>
          <w:sz w:val="40"/>
          <w:szCs w:val="40"/>
        </w:rPr>
        <w:t>201</w:t>
      </w:r>
      <w:r w:rsidR="00DD464C">
        <w:rPr>
          <w:rFonts w:ascii="Times New Roman" w:eastAsia="TimesNewRomanPSMT" w:hAnsi="Times New Roman" w:cs="Times New Roman"/>
          <w:b/>
          <w:bCs/>
          <w:sz w:val="40"/>
          <w:szCs w:val="40"/>
        </w:rPr>
        <w:t>5</w:t>
      </w:r>
      <w:r w:rsidRPr="00BC498A">
        <w:rPr>
          <w:rFonts w:ascii="Times New Roman" w:eastAsia="TimesNewRomanPSMT" w:hAnsi="Times New Roman" w:cs="Times New Roman"/>
          <w:b/>
          <w:bCs/>
          <w:sz w:val="40"/>
          <w:szCs w:val="40"/>
        </w:rPr>
        <w:t>–201</w:t>
      </w:r>
      <w:r w:rsidR="00DD464C">
        <w:rPr>
          <w:rFonts w:ascii="Times New Roman" w:eastAsia="TimesNewRomanPSMT" w:hAnsi="Times New Roman" w:cs="Times New Roman"/>
          <w:b/>
          <w:bCs/>
          <w:sz w:val="40"/>
          <w:szCs w:val="40"/>
        </w:rPr>
        <w:t>9</w:t>
      </w:r>
      <w:r w:rsidRPr="00BC498A">
        <w:rPr>
          <w:rFonts w:ascii="Times New Roman" w:eastAsia="TimesNewRomanPSMT" w:hAnsi="Times New Roman" w:cs="Times New Roman"/>
          <w:b/>
          <w:bCs/>
          <w:sz w:val="40"/>
          <w:szCs w:val="40"/>
        </w:rPr>
        <w:t xml:space="preserve"> </w:t>
      </w:r>
      <w:r w:rsidRPr="00BC498A">
        <w:rPr>
          <w:rFonts w:ascii="Times New Roman" w:eastAsia="TimesNewRomanPS-BoldMT" w:hAnsi="Times New Roman" w:cs="Times New Roman"/>
          <w:b/>
          <w:bCs/>
          <w:sz w:val="40"/>
          <w:szCs w:val="40"/>
        </w:rPr>
        <w:t>годах</w:t>
      </w: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32"/>
          <w:szCs w:val="32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E287C" w:rsidRDefault="000E287C" w:rsidP="00D60077">
      <w:pPr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E72F38" w:rsidRDefault="00D60077" w:rsidP="00D60077">
      <w:pPr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D6007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20</w:t>
      </w:r>
      <w:r w:rsidR="00DD464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20</w:t>
      </w:r>
      <w:r w:rsidRPr="00D6007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007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год</w:t>
      </w:r>
    </w:p>
    <w:p w:rsidR="008808D8" w:rsidRDefault="008808D8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60077" w:rsidRDefault="00D60077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C498A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ПРЕДИСЛОВИЕ</w:t>
      </w:r>
    </w:p>
    <w:p w:rsidR="00CC252B" w:rsidRPr="00BC498A" w:rsidRDefault="00CC252B" w:rsidP="00D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10E2" w:rsidRDefault="004E10E2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D60077" w:rsidRPr="004E10E2" w:rsidRDefault="004E10E2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Информационный бюллетень подготовлен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соответствии с Административным регламентом Федеральной службы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 надзору в сфере защиты прав потребителей и благополучия человека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исполнения государственной функции по информированию органов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государственной власти Российской Федерации, органов государственной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органов местного самоуправления и населения о санитарно-эпидемиологической обстановке и о принимаемых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мерах по обеспечению санитарно-эпидемиологического благополучия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населения», </w:t>
      </w:r>
      <w:r w:rsidR="00D60077" w:rsidRPr="002916AD">
        <w:rPr>
          <w:rFonts w:ascii="Times New Roman" w:eastAsia="TimesNewRomanPSMT" w:hAnsi="Times New Roman" w:cs="Times New Roman"/>
          <w:sz w:val="28"/>
          <w:szCs w:val="28"/>
        </w:rPr>
        <w:t>утв</w:t>
      </w:r>
      <w:r w:rsidR="002916AD" w:rsidRPr="002916AD">
        <w:rPr>
          <w:rFonts w:ascii="Times New Roman" w:eastAsia="TimesNewRomanPSMT" w:hAnsi="Times New Roman" w:cs="Times New Roman"/>
          <w:sz w:val="28"/>
          <w:szCs w:val="28"/>
        </w:rPr>
        <w:t>ержденный</w:t>
      </w:r>
      <w:r w:rsidR="00D60077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приказом Мин</w:t>
      </w:r>
      <w:r w:rsidR="002916AD" w:rsidRPr="002916AD">
        <w:rPr>
          <w:rFonts w:ascii="Times New Roman" w:eastAsia="TimesNewRomanPSMT" w:hAnsi="Times New Roman" w:cs="Times New Roman"/>
          <w:sz w:val="28"/>
          <w:szCs w:val="28"/>
        </w:rPr>
        <w:t xml:space="preserve">истерства </w:t>
      </w:r>
      <w:r w:rsidR="00D60077" w:rsidRPr="002916AD">
        <w:rPr>
          <w:rFonts w:ascii="Times New Roman" w:eastAsia="TimesNewRomanPSMT" w:hAnsi="Times New Roman" w:cs="Times New Roman"/>
          <w:sz w:val="28"/>
          <w:szCs w:val="28"/>
        </w:rPr>
        <w:t>здрав</w:t>
      </w:r>
      <w:r w:rsidR="002916AD" w:rsidRPr="002916AD">
        <w:rPr>
          <w:rFonts w:ascii="Times New Roman" w:eastAsia="TimesNewRomanPSMT" w:hAnsi="Times New Roman" w:cs="Times New Roman"/>
          <w:sz w:val="28"/>
          <w:szCs w:val="28"/>
        </w:rPr>
        <w:t>оохранения и социального развития</w:t>
      </w:r>
      <w:proofErr w:type="gramEnd"/>
      <w:r w:rsidR="00D60077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r w:rsidR="002916AD" w:rsidRPr="002916AD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D60077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№ 656 от 19 октября 2007 года</w:t>
      </w:r>
    </w:p>
    <w:p w:rsidR="004E10E2" w:rsidRPr="004E10E2" w:rsidRDefault="00D60077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информационном бюллетене представлен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острых отравлений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по административным территориям Костромской области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в т.ч. с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летальным исходом, среди населения за 20</w:t>
      </w:r>
      <w:r w:rsidR="00BC498A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</w:t>
      </w:r>
      <w:r w:rsidR="00AF0D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-201</w:t>
      </w:r>
      <w:r w:rsidR="00AF0D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9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годы; структура отравлений</w:t>
      </w:r>
      <w:r w:rsidR="00E90796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 их видам, обстоятельствам,</w:t>
      </w:r>
      <w:r w:rsidR="00E90796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характеру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в т.ч. с летальным исходо</w:t>
      </w:r>
      <w:r w:rsidR="004E10E2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м.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Обозначены группы с учетом возрастно-полового состава</w:t>
      </w:r>
      <w:r w:rsidR="00E90796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населения и социального положения.</w:t>
      </w:r>
    </w:p>
    <w:p w:rsidR="00D60077" w:rsidRPr="004E10E2" w:rsidRDefault="00D60077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Данные информационного бюллетеня</w:t>
      </w:r>
      <w:r w:rsidR="00E90796"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4E10E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рекомендуются для использования при разработке мероприятий, направленных на сохранение здоровья населения.</w:t>
      </w:r>
    </w:p>
    <w:p w:rsidR="00D60077" w:rsidRPr="00CC252B" w:rsidRDefault="00D60077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C00000"/>
          <w:sz w:val="28"/>
          <w:szCs w:val="28"/>
        </w:rPr>
      </w:pPr>
    </w:p>
    <w:p w:rsidR="00CC252B" w:rsidRDefault="00CC252B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4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ОГЛАВЛЕНИЕ</w:t>
      </w: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8808D8">
        <w:rPr>
          <w:rFonts w:ascii="Times New Roman" w:eastAsia="TimesNewRomanPSMT" w:hAnsi="Times New Roman" w:cs="Times New Roman"/>
          <w:sz w:val="28"/>
          <w:szCs w:val="24"/>
        </w:rPr>
        <w:t>Острые отравление химической этиологии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………………………4 стр.</w:t>
      </w:r>
      <w:proofErr w:type="gramEnd"/>
    </w:p>
    <w:p w:rsidR="008808D8" w:rsidRDefault="008808D8" w:rsidP="008808D8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Default="008808D8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808D8">
        <w:rPr>
          <w:rFonts w:ascii="Times New Roman" w:eastAsia="TimesNewRomanPSMT" w:hAnsi="Times New Roman" w:cs="Times New Roman"/>
          <w:sz w:val="28"/>
          <w:szCs w:val="24"/>
        </w:rPr>
        <w:t>Отравления наркотическими веществами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……………………….11 стр.</w:t>
      </w:r>
    </w:p>
    <w:p w:rsidR="008808D8" w:rsidRPr="008808D8" w:rsidRDefault="008808D8" w:rsidP="008808D8">
      <w:pPr>
        <w:pStyle w:val="a8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Default="008808D8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Отравления лекарственными веществами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……………………….12 стр.</w:t>
      </w:r>
    </w:p>
    <w:p w:rsidR="008808D8" w:rsidRPr="008808D8" w:rsidRDefault="008808D8" w:rsidP="008808D8">
      <w:pPr>
        <w:pStyle w:val="a8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Default="008808D8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Прочие отравления химической этиологии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……………………..13 стр.</w:t>
      </w:r>
    </w:p>
    <w:p w:rsidR="008808D8" w:rsidRPr="008808D8" w:rsidRDefault="008808D8" w:rsidP="008808D8">
      <w:pPr>
        <w:pStyle w:val="a8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Pr="00CF2A94" w:rsidRDefault="008808D8" w:rsidP="00CF2A9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CF2A94">
        <w:rPr>
          <w:rFonts w:ascii="Times New Roman" w:eastAsia="TimesNewRomanPSMT" w:hAnsi="Times New Roman" w:cs="Times New Roman"/>
          <w:sz w:val="28"/>
          <w:szCs w:val="24"/>
        </w:rPr>
        <w:t xml:space="preserve">Отравления алкогольной продукцией и спиртосодержащими </w:t>
      </w:r>
      <w:r w:rsidR="00CF2A94" w:rsidRPr="00CF2A94">
        <w:rPr>
          <w:rFonts w:ascii="Times New Roman" w:eastAsia="TimesNewRomanPSMT" w:hAnsi="Times New Roman" w:cs="Times New Roman"/>
          <w:sz w:val="28"/>
          <w:szCs w:val="24"/>
        </w:rPr>
        <w:t>жидкостями…………………………………………………………14 стр.</w:t>
      </w:r>
    </w:p>
    <w:p w:rsidR="008808D8" w:rsidRPr="008808D8" w:rsidRDefault="008808D8" w:rsidP="008808D8">
      <w:pPr>
        <w:pStyle w:val="a8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Default="008D6997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Отравления другими веществами 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………………………………..1</w:t>
      </w:r>
      <w:r>
        <w:rPr>
          <w:rFonts w:ascii="Times New Roman" w:eastAsia="TimesNewRomanPSMT" w:hAnsi="Times New Roman" w:cs="Times New Roman"/>
          <w:sz w:val="28"/>
          <w:szCs w:val="24"/>
        </w:rPr>
        <w:t>8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 xml:space="preserve"> стр.</w:t>
      </w:r>
    </w:p>
    <w:p w:rsidR="008808D8" w:rsidRPr="008808D8" w:rsidRDefault="008808D8" w:rsidP="008808D8">
      <w:pPr>
        <w:pStyle w:val="a8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Pr="008808D8" w:rsidRDefault="008808D8" w:rsidP="008808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Заключение</w:t>
      </w:r>
      <w:r w:rsidR="00CF2A94">
        <w:rPr>
          <w:rFonts w:ascii="Times New Roman" w:eastAsia="TimesNewRomanPSMT" w:hAnsi="Times New Roman" w:cs="Times New Roman"/>
          <w:sz w:val="28"/>
          <w:szCs w:val="24"/>
        </w:rPr>
        <w:t>…………………………………………………………20 стр.</w:t>
      </w:r>
    </w:p>
    <w:p w:rsidR="008808D8" w:rsidRP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D6D60" w:rsidRDefault="001D6D60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808D8" w:rsidRDefault="008808D8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C252B" w:rsidRDefault="00CC252B" w:rsidP="008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F2A94" w:rsidRDefault="00CF2A94" w:rsidP="00CF2A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lastRenderedPageBreak/>
        <w:t>ОСТРЫЕ ОТРАВЛЕНИЯ ХИМИЧЕСКОЙ ЭТИОЛОГИИ</w:t>
      </w:r>
    </w:p>
    <w:p w:rsidR="00CF2A94" w:rsidRPr="00CF2A94" w:rsidRDefault="00CF2A94" w:rsidP="00CF2A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D60077" w:rsidRPr="002916AD" w:rsidRDefault="00D60077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В 201</w:t>
      </w:r>
      <w:r w:rsidR="00F97C8F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году по данным токсикологического мониторинга в Костромской области зарегистрировано </w:t>
      </w:r>
      <w:r w:rsidR="00F97C8F">
        <w:rPr>
          <w:rFonts w:ascii="Times New Roman" w:eastAsia="TimesNewRomanPSMT" w:hAnsi="Times New Roman" w:cs="Times New Roman"/>
          <w:sz w:val="28"/>
          <w:szCs w:val="24"/>
        </w:rPr>
        <w:t>214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F97C8F"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острых отравлений химической этиологии (далее – ООХЭ), что на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67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>меньше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чем в 201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(</w:t>
      </w:r>
      <w:r w:rsidR="00484491">
        <w:rPr>
          <w:rFonts w:ascii="Times New Roman" w:eastAsia="TimesNewRomanPSMT" w:hAnsi="Times New Roman" w:cs="Times New Roman"/>
          <w:sz w:val="28"/>
          <w:szCs w:val="24"/>
        </w:rPr>
        <w:t>281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случая), из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н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их со смертельным исходом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82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слу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>ча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я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(в 201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г. –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130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).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Ср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еди </w:t>
      </w:r>
      <w:r w:rsidR="00AC365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пострадавших мужчины составили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59,36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(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>1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30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че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л.),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же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нщины –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40,64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% (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89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E90796" w:rsidRPr="002916AD">
        <w:rPr>
          <w:rFonts w:ascii="Times New Roman" w:eastAsia="TimesNewRomanPSMT" w:hAnsi="Times New Roman" w:cs="Times New Roman"/>
          <w:sz w:val="28"/>
          <w:szCs w:val="24"/>
        </w:rPr>
        <w:t>че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л.).</w:t>
      </w:r>
    </w:p>
    <w:p w:rsidR="00D60077" w:rsidRPr="002916AD" w:rsidRDefault="00E90796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По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К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остром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ской области в 201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год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у показатель острых отравлений</w:t>
      </w:r>
      <w:r w:rsidR="00AC365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химическ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ой этиологии на 100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ты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с</w:t>
      </w:r>
      <w:proofErr w:type="gramStart"/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.н</w:t>
      </w:r>
      <w:proofErr w:type="gramEnd"/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аселения составил 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34,04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.</w:t>
      </w:r>
      <w:r w:rsidR="00AC365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proofErr w:type="gramStart"/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Начиная с 20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1</w:t>
      </w:r>
      <w:r w:rsidR="00054008">
        <w:rPr>
          <w:rFonts w:ascii="Times New Roman" w:eastAsia="TimesNewRomanPSMT" w:hAnsi="Times New Roman" w:cs="Times New Roman"/>
          <w:sz w:val="28"/>
          <w:szCs w:val="24"/>
        </w:rPr>
        <w:t>5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года </w:t>
      </w:r>
      <w:r w:rsidR="000E287C">
        <w:rPr>
          <w:rFonts w:ascii="Times New Roman" w:eastAsia="TimesNewRomanPSMT" w:hAnsi="Times New Roman" w:cs="Times New Roman"/>
          <w:sz w:val="28"/>
          <w:szCs w:val="24"/>
        </w:rPr>
        <w:t>отмечалось</w:t>
      </w:r>
      <w:proofErr w:type="gram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снижение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острых отравлений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хими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>ческой этиологии среди населения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D6007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в быту </w:t>
      </w:r>
      <w:r w:rsidR="00D60077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(табл</w:t>
      </w:r>
      <w:r w:rsidR="00D60077"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="00D60077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№ </w:t>
      </w:r>
      <w:r w:rsidR="00D60077" w:rsidRPr="002916AD">
        <w:rPr>
          <w:rFonts w:ascii="Times New Roman" w:eastAsia="TimesNewRomanPSMT" w:hAnsi="Times New Roman" w:cs="Times New Roman"/>
          <w:bCs/>
          <w:sz w:val="28"/>
          <w:szCs w:val="24"/>
        </w:rPr>
        <w:t>1).</w:t>
      </w:r>
    </w:p>
    <w:p w:rsidR="00BC498A" w:rsidRPr="002916AD" w:rsidRDefault="00BC498A" w:rsidP="00BC4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lang w:eastAsia="ru-RU"/>
        </w:rPr>
      </w:pPr>
    </w:p>
    <w:p w:rsidR="00BC498A" w:rsidRPr="00BC498A" w:rsidRDefault="00BC498A" w:rsidP="00BC4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C498A">
        <w:rPr>
          <w:rFonts w:ascii="Times New Roman" w:eastAsia="Calibri" w:hAnsi="Times New Roman" w:cs="Times New Roman"/>
          <w:bCs/>
          <w:lang w:eastAsia="ru-RU"/>
        </w:rPr>
        <w:t>Таблица № 1</w:t>
      </w:r>
    </w:p>
    <w:p w:rsidR="000A3FEA" w:rsidRDefault="008A7916" w:rsidP="00B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00786">
        <w:rPr>
          <w:rFonts w:ascii="Times New Roman" w:eastAsia="Calibri" w:hAnsi="Times New Roman" w:cs="Times New Roman"/>
          <w:b/>
          <w:bCs/>
          <w:lang w:eastAsia="ru-RU"/>
        </w:rPr>
        <w:t>Динамика острых отравлений химической этиологии населения Костромской области</w:t>
      </w:r>
    </w:p>
    <w:p w:rsidR="00BC498A" w:rsidRDefault="00BC498A" w:rsidP="00B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7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709"/>
        <w:gridCol w:w="850"/>
        <w:gridCol w:w="709"/>
        <w:gridCol w:w="851"/>
        <w:gridCol w:w="850"/>
        <w:gridCol w:w="709"/>
        <w:gridCol w:w="850"/>
        <w:gridCol w:w="851"/>
        <w:gridCol w:w="992"/>
        <w:gridCol w:w="851"/>
      </w:tblGrid>
      <w:tr w:rsidR="00F97C8F" w:rsidRPr="00EF7549" w:rsidTr="00F97C8F">
        <w:tc>
          <w:tcPr>
            <w:tcW w:w="1668" w:type="dxa"/>
            <w:vMerge w:val="restart"/>
            <w:vAlign w:val="center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  <w:gridSpan w:val="2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2015г.</w:t>
            </w:r>
          </w:p>
        </w:tc>
        <w:tc>
          <w:tcPr>
            <w:tcW w:w="1559" w:type="dxa"/>
            <w:gridSpan w:val="2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2016г.</w:t>
            </w:r>
          </w:p>
        </w:tc>
        <w:tc>
          <w:tcPr>
            <w:tcW w:w="1701" w:type="dxa"/>
            <w:gridSpan w:val="2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2017г.</w:t>
            </w:r>
          </w:p>
        </w:tc>
        <w:tc>
          <w:tcPr>
            <w:tcW w:w="1559" w:type="dxa"/>
            <w:gridSpan w:val="2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2018г.</w:t>
            </w:r>
          </w:p>
        </w:tc>
        <w:tc>
          <w:tcPr>
            <w:tcW w:w="1843" w:type="dxa"/>
            <w:gridSpan w:val="2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 xml:space="preserve">Всего </w:t>
            </w:r>
          </w:p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за период  2014-2018гг. (чел.)</w:t>
            </w:r>
          </w:p>
        </w:tc>
      </w:tr>
      <w:tr w:rsidR="00F97C8F" w:rsidRPr="00EF7549" w:rsidTr="00F97C8F">
        <w:tc>
          <w:tcPr>
            <w:tcW w:w="1668" w:type="dxa"/>
            <w:vMerge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Всего  (чел.)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на 100 тыс. нас.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Всего (чел.)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на 100 тыс. нас.</w:t>
            </w:r>
          </w:p>
        </w:tc>
        <w:tc>
          <w:tcPr>
            <w:tcW w:w="851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Всего  (чел.)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на 100 тыс. нас.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Всего  (чел.)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на 100 тыс. нас.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Всего  (чел.)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на 100 тыс. нас</w:t>
            </w:r>
          </w:p>
        </w:tc>
        <w:tc>
          <w:tcPr>
            <w:tcW w:w="851" w:type="dxa"/>
            <w:vMerge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97C8F" w:rsidRPr="00EF7549" w:rsidTr="00F97C8F">
        <w:trPr>
          <w:trHeight w:val="447"/>
        </w:trPr>
        <w:tc>
          <w:tcPr>
            <w:tcW w:w="1668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lang w:eastAsia="ru-RU"/>
              </w:rPr>
              <w:t>Острые отравления  химической этиологии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393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60,1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342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52,5</w:t>
            </w:r>
          </w:p>
        </w:tc>
        <w:tc>
          <w:tcPr>
            <w:tcW w:w="851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383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59,1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281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43,68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34,04</w:t>
            </w:r>
          </w:p>
        </w:tc>
        <w:tc>
          <w:tcPr>
            <w:tcW w:w="851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2100</w:t>
            </w:r>
          </w:p>
        </w:tc>
      </w:tr>
      <w:tr w:rsidR="00F97C8F" w:rsidRPr="00EF7549" w:rsidTr="00F97C8F">
        <w:tc>
          <w:tcPr>
            <w:tcW w:w="1668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из них с летальным исходом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239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36,5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26,1</w:t>
            </w:r>
          </w:p>
        </w:tc>
        <w:tc>
          <w:tcPr>
            <w:tcW w:w="851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209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32,2</w:t>
            </w:r>
          </w:p>
        </w:tc>
        <w:tc>
          <w:tcPr>
            <w:tcW w:w="709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850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12,7</w:t>
            </w:r>
          </w:p>
        </w:tc>
        <w:tc>
          <w:tcPr>
            <w:tcW w:w="851" w:type="dxa"/>
          </w:tcPr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97C8F">
              <w:rPr>
                <w:rFonts w:ascii="Times New Roman" w:hAnsi="Times New Roman" w:cs="Times New Roman"/>
                <w:bCs/>
                <w:lang w:eastAsia="ru-RU"/>
              </w:rPr>
              <w:t>1134</w:t>
            </w:r>
          </w:p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97C8F" w:rsidRPr="00F97C8F" w:rsidRDefault="00F97C8F" w:rsidP="00DD4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8A7916" w:rsidRDefault="008A7916" w:rsidP="008A79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7916" w:rsidRPr="002916AD" w:rsidRDefault="008A7916" w:rsidP="00AC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В 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стру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ктуре ООХЭ выделено 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4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групп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ы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причин: отравления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спиртосодержащей продукцией, отравления наркотическими веществами,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отравления лекарственными препаратами</w:t>
      </w:r>
      <w:r w:rsidR="00BC498A" w:rsidRPr="002916AD">
        <w:rPr>
          <w:rFonts w:ascii="Times New Roman" w:eastAsia="TimesNewRomanPSMT" w:hAnsi="Times New Roman" w:cs="Times New Roman"/>
          <w:sz w:val="28"/>
          <w:szCs w:val="24"/>
        </w:rPr>
        <w:t>, отравления другими веществами (таб. № 2)</w:t>
      </w:r>
    </w:p>
    <w:p w:rsidR="008A7916" w:rsidRDefault="0037267F" w:rsidP="00BC498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н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а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первом месте остаются отравления алкоголем и другими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спиртосодержащими препаратами –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35,16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%, что составляет </w:t>
      </w:r>
      <w:r w:rsidR="00F83C9A">
        <w:rPr>
          <w:rFonts w:ascii="Times New Roman" w:eastAsia="TimesNewRomanPSMT" w:hAnsi="Times New Roman" w:cs="Times New Roman"/>
          <w:sz w:val="28"/>
          <w:szCs w:val="24"/>
        </w:rPr>
        <w:t>77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F83C9A">
        <w:rPr>
          <w:rFonts w:ascii="Times New Roman" w:eastAsia="TimesNewRomanPSMT" w:hAnsi="Times New Roman" w:cs="Times New Roman"/>
          <w:sz w:val="28"/>
          <w:szCs w:val="24"/>
        </w:rPr>
        <w:t>ев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(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12,08</w:t>
      </w:r>
      <w:r w:rsidR="00F76585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н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а 100 тыс. </w:t>
      </w:r>
      <w:r w:rsidR="00AC4FCF" w:rsidRPr="002916AD">
        <w:rPr>
          <w:rFonts w:ascii="Times New Roman" w:eastAsia="TimesNewRomanPSMT" w:hAnsi="Times New Roman" w:cs="Times New Roman"/>
          <w:sz w:val="28"/>
          <w:szCs w:val="24"/>
        </w:rPr>
        <w:t>нас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>еления),</w:t>
      </w:r>
    </w:p>
    <w:p w:rsidR="00641F49" w:rsidRPr="00641F49" w:rsidRDefault="00641F49" w:rsidP="00641F4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C2C6C">
        <w:rPr>
          <w:rFonts w:ascii="Times New Roman" w:eastAsia="TimesNewRomanPSMT" w:hAnsi="Times New Roman" w:cs="Times New Roman"/>
          <w:sz w:val="28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sz w:val="28"/>
          <w:szCs w:val="24"/>
        </w:rPr>
        <w:t>втором</w:t>
      </w:r>
      <w:r w:rsidRPr="001C2C6C">
        <w:rPr>
          <w:rFonts w:ascii="Times New Roman" w:eastAsia="TimesNewRomanPSMT" w:hAnsi="Times New Roman" w:cs="Times New Roman"/>
          <w:sz w:val="28"/>
          <w:szCs w:val="24"/>
        </w:rPr>
        <w:t xml:space="preserve"> месте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отравления лекарственными препаратами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30,59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% -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67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(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10,51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на 100 тыс. населения),</w:t>
      </w:r>
    </w:p>
    <w:p w:rsidR="008A7916" w:rsidRPr="001C2C6C" w:rsidRDefault="00AC4FCF" w:rsidP="001C2C6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на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41F49">
        <w:rPr>
          <w:rFonts w:ascii="Times New Roman" w:eastAsia="TimesNewRomanPSMT" w:hAnsi="Times New Roman" w:cs="Times New Roman"/>
          <w:sz w:val="28"/>
          <w:szCs w:val="24"/>
        </w:rPr>
        <w:t>третьем</w:t>
      </w:r>
      <w:r w:rsidR="008A791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месте</w:t>
      </w:r>
      <w:r w:rsidR="001C2C6C" w:rsidRPr="001C2C6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1C2C6C" w:rsidRPr="002916AD">
        <w:rPr>
          <w:rFonts w:ascii="Times New Roman" w:eastAsia="TimesNewRomanPSMT" w:hAnsi="Times New Roman" w:cs="Times New Roman"/>
          <w:sz w:val="28"/>
          <w:szCs w:val="24"/>
        </w:rPr>
        <w:t>прочие отравления (</w:t>
      </w:r>
      <w:r w:rsidR="001C2C6C" w:rsidRPr="002916AD">
        <w:rPr>
          <w:rFonts w:ascii="Times New Roman" w:eastAsia="Calibri" w:hAnsi="Times New Roman" w:cs="Times New Roman"/>
          <w:sz w:val="28"/>
          <w:szCs w:val="24"/>
        </w:rPr>
        <w:t>товарами быт. назначения, угарным газом, уксусной кислотой, ядом жив./</w:t>
      </w:r>
      <w:proofErr w:type="spellStart"/>
      <w:proofErr w:type="gramStart"/>
      <w:r w:rsidR="001C2C6C" w:rsidRPr="002916AD">
        <w:rPr>
          <w:rFonts w:ascii="Times New Roman" w:eastAsia="Calibri" w:hAnsi="Times New Roman" w:cs="Times New Roman"/>
          <w:sz w:val="28"/>
          <w:szCs w:val="24"/>
        </w:rPr>
        <w:t>пр</w:t>
      </w:r>
      <w:proofErr w:type="spellEnd"/>
      <w:proofErr w:type="gramEnd"/>
      <w:r w:rsidR="001C2C6C" w:rsidRPr="002916AD">
        <w:rPr>
          <w:rFonts w:ascii="Times New Roman" w:eastAsia="TimesNewRomanPSMT" w:hAnsi="Times New Roman" w:cs="Times New Roman"/>
          <w:sz w:val="28"/>
          <w:szCs w:val="24"/>
        </w:rPr>
        <w:t xml:space="preserve">)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25,11</w:t>
      </w:r>
      <w:r w:rsidR="001C2C6C" w:rsidRPr="002916AD">
        <w:rPr>
          <w:rFonts w:ascii="Times New Roman" w:eastAsia="TimesNewRomanPSMT" w:hAnsi="Times New Roman" w:cs="Times New Roman"/>
          <w:sz w:val="28"/>
          <w:szCs w:val="24"/>
        </w:rPr>
        <w:t xml:space="preserve">% -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55</w:t>
      </w:r>
      <w:r w:rsidR="001C2C6C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случаев (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8,63</w:t>
      </w:r>
      <w:r w:rsidR="001C2C6C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на 100 тыс. населения),</w:t>
      </w:r>
    </w:p>
    <w:p w:rsidR="008A7916" w:rsidRPr="001C2C6C" w:rsidRDefault="00AC4FCF" w:rsidP="00BC498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C2C6C">
        <w:rPr>
          <w:rFonts w:ascii="Times New Roman" w:eastAsia="TimesNewRomanPSMT" w:hAnsi="Times New Roman" w:cs="Times New Roman"/>
          <w:sz w:val="28"/>
          <w:szCs w:val="24"/>
        </w:rPr>
        <w:t>на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 xml:space="preserve"> четвертом месте отравления </w:t>
      </w:r>
      <w:r w:rsidRPr="001C2C6C">
        <w:rPr>
          <w:rFonts w:ascii="Times New Roman" w:eastAsia="TimesNewRomanPSMT" w:hAnsi="Times New Roman" w:cs="Times New Roman"/>
          <w:sz w:val="28"/>
          <w:szCs w:val="24"/>
        </w:rPr>
        <w:t>наркот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 xml:space="preserve">ическими веществами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9,13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 xml:space="preserve"> % - 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20</w:t>
      </w:r>
      <w:r w:rsidRPr="001C2C6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>случаев (</w:t>
      </w:r>
      <w:r w:rsidR="00FB0CA0">
        <w:rPr>
          <w:rFonts w:ascii="Times New Roman" w:eastAsia="TimesNewRomanPSMT" w:hAnsi="Times New Roman" w:cs="Times New Roman"/>
          <w:sz w:val="28"/>
          <w:szCs w:val="24"/>
        </w:rPr>
        <w:t>3,17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 xml:space="preserve"> на 100 тыс.</w:t>
      </w:r>
      <w:r w:rsidR="0037267F" w:rsidRPr="001C2C6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1C2C6C">
        <w:rPr>
          <w:rFonts w:ascii="Times New Roman" w:eastAsia="TimesNewRomanPSMT" w:hAnsi="Times New Roman" w:cs="Times New Roman"/>
          <w:sz w:val="28"/>
          <w:szCs w:val="24"/>
        </w:rPr>
        <w:t>насе</w:t>
      </w:r>
      <w:r w:rsidR="008A7916" w:rsidRPr="001C2C6C">
        <w:rPr>
          <w:rFonts w:ascii="Times New Roman" w:eastAsia="TimesNewRomanPSMT" w:hAnsi="Times New Roman" w:cs="Times New Roman"/>
          <w:sz w:val="28"/>
          <w:szCs w:val="24"/>
        </w:rPr>
        <w:t>ления)</w:t>
      </w:r>
    </w:p>
    <w:p w:rsidR="00641F49" w:rsidRDefault="00BC498A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641F49" w:rsidRDefault="00641F49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1F49" w:rsidRDefault="00641F49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1F49" w:rsidRDefault="00641F49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1F49" w:rsidRDefault="00641F49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1F49" w:rsidRDefault="00641F49" w:rsidP="00BC498A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C4FCF" w:rsidRPr="00BC498A" w:rsidRDefault="00BC498A" w:rsidP="00641F49">
      <w:pPr>
        <w:pStyle w:val="a8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C498A">
        <w:rPr>
          <w:rFonts w:ascii="Times New Roman" w:eastAsia="Calibri" w:hAnsi="Times New Roman" w:cs="Times New Roman"/>
          <w:b/>
        </w:rPr>
        <w:t>Таблица № 2</w:t>
      </w:r>
    </w:p>
    <w:p w:rsidR="000A3FEA" w:rsidRDefault="00AC4FCF" w:rsidP="00BC49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0786">
        <w:rPr>
          <w:rFonts w:ascii="Times New Roman" w:eastAsia="Calibri" w:hAnsi="Times New Roman" w:cs="Times New Roman"/>
          <w:b/>
        </w:rPr>
        <w:t>Структура острых отравлений химической этиологии за 201</w:t>
      </w:r>
      <w:r w:rsidR="00FB0CA0">
        <w:rPr>
          <w:rFonts w:ascii="Times New Roman" w:hAnsi="Times New Roman"/>
          <w:b/>
        </w:rPr>
        <w:t>5</w:t>
      </w:r>
      <w:r w:rsidRPr="00700786">
        <w:rPr>
          <w:rFonts w:ascii="Times New Roman" w:eastAsia="Calibri" w:hAnsi="Times New Roman" w:cs="Times New Roman"/>
          <w:b/>
        </w:rPr>
        <w:t>-201</w:t>
      </w:r>
      <w:r w:rsidR="00FB0CA0">
        <w:rPr>
          <w:rFonts w:ascii="Times New Roman" w:eastAsia="Calibri" w:hAnsi="Times New Roman" w:cs="Times New Roman"/>
          <w:b/>
        </w:rPr>
        <w:t>9</w:t>
      </w:r>
      <w:r w:rsidRPr="00700786">
        <w:rPr>
          <w:rFonts w:ascii="Times New Roman" w:eastAsia="Calibri" w:hAnsi="Times New Roman" w:cs="Times New Roman"/>
          <w:b/>
        </w:rPr>
        <w:t xml:space="preserve"> гг</w:t>
      </w:r>
      <w:r w:rsidR="000A3FEA">
        <w:rPr>
          <w:rFonts w:ascii="Times New Roman" w:eastAsia="Calibri" w:hAnsi="Times New Roman" w:cs="Times New Roman"/>
          <w:b/>
        </w:rPr>
        <w:t>.</w:t>
      </w:r>
    </w:p>
    <w:tbl>
      <w:tblPr>
        <w:tblpPr w:leftFromText="180" w:rightFromText="180" w:vertAnchor="text" w:horzAnchor="margin" w:tblpXSpec="center" w:tblpY="2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08"/>
        <w:gridCol w:w="851"/>
        <w:gridCol w:w="1276"/>
        <w:gridCol w:w="851"/>
        <w:gridCol w:w="1275"/>
        <w:gridCol w:w="1276"/>
      </w:tblGrid>
      <w:tr w:rsidR="00AC4FCF" w:rsidRPr="00700786" w:rsidTr="00D72568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53" w:type="dxa"/>
            <w:gridSpan w:val="4"/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Острые отравления химической этиологии</w:t>
            </w:r>
          </w:p>
        </w:tc>
        <w:tc>
          <w:tcPr>
            <w:tcW w:w="1276" w:type="dxa"/>
            <w:vMerge w:val="restart"/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 xml:space="preserve">В структуре </w:t>
            </w:r>
          </w:p>
          <w:p w:rsidR="00AC4FCF" w:rsidRPr="00700786" w:rsidRDefault="00AC4FCF" w:rsidP="00D72568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отравлений</w:t>
            </w:r>
            <w:proofErr w:type="gramStart"/>
            <w:r w:rsidRPr="00700786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</w:tr>
      <w:tr w:rsidR="00AC4FCF" w:rsidRPr="00700786" w:rsidTr="00D72568">
        <w:trPr>
          <w:trHeight w:val="132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126" w:type="dxa"/>
            <w:gridSpan w:val="2"/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с летальным исходом</w:t>
            </w:r>
          </w:p>
        </w:tc>
        <w:tc>
          <w:tcPr>
            <w:tcW w:w="1276" w:type="dxa"/>
            <w:vMerge/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4FCF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0786">
              <w:rPr>
                <w:rFonts w:ascii="Times New Roman" w:eastAsia="Calibri" w:hAnsi="Times New Roman" w:cs="Times New Roman"/>
              </w:rPr>
              <w:t>абс</w:t>
            </w:r>
            <w:proofErr w:type="spellEnd"/>
            <w:r w:rsidRPr="007007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на 100 тыс. населения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0786">
              <w:rPr>
                <w:rFonts w:ascii="Times New Roman" w:eastAsia="Calibri" w:hAnsi="Times New Roman" w:cs="Times New Roman"/>
              </w:rPr>
              <w:t>абс</w:t>
            </w:r>
            <w:proofErr w:type="spellEnd"/>
            <w:r w:rsidRPr="007007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FCF" w:rsidRPr="00700786" w:rsidRDefault="00AC4FCF" w:rsidP="00D7256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на 100 тыс. населения</w:t>
            </w:r>
          </w:p>
        </w:tc>
        <w:tc>
          <w:tcPr>
            <w:tcW w:w="1276" w:type="dxa"/>
            <w:vMerge/>
          </w:tcPr>
          <w:p w:rsidR="00AC4FCF" w:rsidRPr="00700786" w:rsidRDefault="00AC4FCF" w:rsidP="00D7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4008" w:rsidRPr="00700786" w:rsidTr="00AC4FCF">
        <w:trPr>
          <w:trHeight w:val="214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054008" w:rsidRPr="00700786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Отравления спиртосодержащей продукцией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49,8</w:t>
            </w:r>
          </w:p>
        </w:tc>
      </w:tr>
      <w:tr w:rsidR="00054008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54008" w:rsidRPr="00700786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25,3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48,6</w:t>
            </w:r>
          </w:p>
        </w:tc>
      </w:tr>
      <w:tr w:rsidR="00054008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54008" w:rsidRPr="00700786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56,7</w:t>
            </w:r>
          </w:p>
        </w:tc>
      </w:tr>
      <w:tr w:rsidR="00054008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54008" w:rsidRPr="00700786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1276" w:type="dxa"/>
          </w:tcPr>
          <w:p w:rsidR="00054008" w:rsidRPr="00F83C9A" w:rsidRDefault="00054008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43,4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6" w:type="dxa"/>
          </w:tcPr>
          <w:p w:rsidR="00F83C9A" w:rsidRPr="00F83C9A" w:rsidRDefault="00FB0CA0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B0CA0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276" w:type="dxa"/>
          </w:tcPr>
          <w:p w:rsidR="00F83C9A" w:rsidRPr="00F83C9A" w:rsidRDefault="00FB0CA0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F83C9A" w:rsidRPr="00700786" w:rsidTr="00AC4FCF">
        <w:trPr>
          <w:trHeight w:val="176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Отравления наркотическими веществами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8,4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5,3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3,9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F83C9A" w:rsidRPr="00F83C9A" w:rsidRDefault="00FB0CA0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B0CA0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76" w:type="dxa"/>
          </w:tcPr>
          <w:p w:rsidR="00F83C9A" w:rsidRPr="00F83C9A" w:rsidRDefault="00FB0CA0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F83C9A" w:rsidRPr="00700786" w:rsidTr="00AC4FCF">
        <w:trPr>
          <w:trHeight w:val="27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Отравления лекарственными веществами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20,7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13,8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26,3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19,3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28,1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</w:tcPr>
          <w:p w:rsidR="00F83C9A" w:rsidRPr="00F83C9A" w:rsidRDefault="00F83C9A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FB0C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6" w:type="dxa"/>
          </w:tcPr>
          <w:p w:rsidR="00F83C9A" w:rsidRPr="00F83C9A" w:rsidRDefault="00F83C9A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FB0C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83C9A" w:rsidRPr="00700786" w:rsidTr="00AC4FCF">
        <w:trPr>
          <w:trHeight w:val="228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 xml:space="preserve">Прочие отравления </w:t>
            </w:r>
          </w:p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786">
              <w:rPr>
                <w:rFonts w:ascii="Times New Roman" w:eastAsia="Calibri" w:hAnsi="Times New Roman" w:cs="Times New Roman"/>
              </w:rPr>
              <w:t>(товарами быт</w:t>
            </w:r>
            <w:proofErr w:type="gramStart"/>
            <w:r w:rsidRPr="0070078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0078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0786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700786">
              <w:rPr>
                <w:rFonts w:ascii="Times New Roman" w:eastAsia="Calibri" w:hAnsi="Times New Roman" w:cs="Times New Roman"/>
              </w:rPr>
              <w:t xml:space="preserve">азначения, угарным газом, уксусной </w:t>
            </w:r>
            <w:r w:rsidRPr="00AE1FFC">
              <w:rPr>
                <w:rFonts w:ascii="Times New Roman" w:eastAsia="Calibri" w:hAnsi="Times New Roman" w:cs="Times New Roman"/>
              </w:rPr>
              <w:t>кислотой</w:t>
            </w:r>
            <w:r w:rsidRPr="00700786">
              <w:rPr>
                <w:rFonts w:ascii="Times New Roman" w:eastAsia="Calibri" w:hAnsi="Times New Roman" w:cs="Times New Roman"/>
              </w:rPr>
              <w:t>, ядом жив./пр.)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21,1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20,2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F83C9A" w:rsidRPr="00700786" w:rsidTr="00D72568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276" w:type="dxa"/>
          </w:tcPr>
          <w:p w:rsidR="00F83C9A" w:rsidRPr="00F83C9A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C9A">
              <w:rPr>
                <w:rFonts w:ascii="Times New Roman" w:eastAsia="Calibri" w:hAnsi="Times New Roman" w:cs="Times New Roman"/>
              </w:rPr>
              <w:t>24,2</w:t>
            </w:r>
          </w:p>
        </w:tc>
      </w:tr>
      <w:tr w:rsidR="00F83C9A" w:rsidRPr="00700786" w:rsidTr="00DD464C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83C9A" w:rsidRPr="00700786" w:rsidRDefault="00F83C9A" w:rsidP="0005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F83C9A" w:rsidRPr="00F83C9A" w:rsidRDefault="00F83C9A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FB0C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83C9A" w:rsidRPr="00F83C9A" w:rsidRDefault="00F83C9A" w:rsidP="00DD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76" w:type="dxa"/>
            <w:vAlign w:val="center"/>
          </w:tcPr>
          <w:p w:rsidR="00F83C9A" w:rsidRPr="00F83C9A" w:rsidRDefault="00F83C9A" w:rsidP="00FB0C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</w:tbl>
    <w:p w:rsidR="00AC4FCF" w:rsidRPr="008A7916" w:rsidRDefault="00AC4FCF" w:rsidP="00AC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7916" w:rsidRDefault="00FB0CA0" w:rsidP="00FB0C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B0CA0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9844" cy="2743200"/>
            <wp:effectExtent l="19050" t="0" r="1805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4AD5" w:rsidRDefault="008A7916" w:rsidP="008A7916">
      <w:pPr>
        <w:spacing w:after="0" w:line="240" w:lineRule="auto"/>
        <w:jc w:val="center"/>
        <w:rPr>
          <w:rFonts w:ascii="Times New Roman" w:hAnsi="Times New Roman"/>
        </w:rPr>
      </w:pPr>
      <w:r w:rsidRPr="008A7916">
        <w:rPr>
          <w:rFonts w:ascii="Times New Roman" w:hAnsi="Times New Roman"/>
          <w:b/>
        </w:rPr>
        <w:t>Рис. 1</w:t>
      </w:r>
      <w:r>
        <w:rPr>
          <w:rFonts w:ascii="Times New Roman" w:hAnsi="Times New Roman"/>
        </w:rPr>
        <w:t xml:space="preserve">. </w:t>
      </w:r>
      <w:r w:rsidR="00C64AD5">
        <w:rPr>
          <w:rFonts w:ascii="Times New Roman" w:hAnsi="Times New Roman"/>
        </w:rPr>
        <w:t xml:space="preserve">Структура </w:t>
      </w:r>
      <w:r w:rsidRPr="00700786">
        <w:rPr>
          <w:rFonts w:ascii="Times New Roman" w:eastAsia="Calibri" w:hAnsi="Times New Roman" w:cs="Times New Roman"/>
        </w:rPr>
        <w:t xml:space="preserve">острых отравлений химической этиологии </w:t>
      </w:r>
    </w:p>
    <w:p w:rsidR="008A7916" w:rsidRPr="00700786" w:rsidRDefault="008A7916" w:rsidP="00C64AD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0786">
        <w:rPr>
          <w:rFonts w:ascii="Times New Roman" w:eastAsia="Calibri" w:hAnsi="Times New Roman" w:cs="Times New Roman"/>
        </w:rPr>
        <w:t>по Костромской области за 201</w:t>
      </w:r>
      <w:r w:rsidR="00064871">
        <w:rPr>
          <w:rFonts w:ascii="Times New Roman" w:eastAsia="Calibri" w:hAnsi="Times New Roman" w:cs="Times New Roman"/>
        </w:rPr>
        <w:t>9</w:t>
      </w:r>
      <w:r w:rsidRPr="00700786">
        <w:rPr>
          <w:rFonts w:ascii="Times New Roman" w:eastAsia="Calibri" w:hAnsi="Times New Roman" w:cs="Times New Roman"/>
        </w:rPr>
        <w:t xml:space="preserve">г. </w:t>
      </w:r>
    </w:p>
    <w:p w:rsidR="00C64AD5" w:rsidRDefault="00C64AD5" w:rsidP="00C6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7267F" w:rsidRPr="002916AD" w:rsidRDefault="00737E5D" w:rsidP="000A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4"/>
        </w:rPr>
        <w:t>У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>дельный вес отравлений спиртосодержащими препаратами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снизился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43,4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до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35,2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году,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 xml:space="preserve">отмечен рост отравлений </w:t>
      </w:r>
      <w:r w:rsidR="009845C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наркотическими веществами с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3,9</w:t>
      </w:r>
      <w:r w:rsidR="009845CE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</w:t>
      </w:r>
      <w:r w:rsidR="009845C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до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9,1</w:t>
      </w:r>
      <w:r w:rsidR="009845CE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9845C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="008720B8">
        <w:rPr>
          <w:rFonts w:ascii="Times New Roman" w:eastAsia="TimesNewRomanPSMT" w:hAnsi="Times New Roman" w:cs="Times New Roman"/>
          <w:sz w:val="28"/>
          <w:szCs w:val="24"/>
        </w:rPr>
        <w:t xml:space="preserve"> отравлений </w:t>
      </w:r>
      <w:r w:rsidR="00BC498A" w:rsidRPr="002916AD">
        <w:rPr>
          <w:rFonts w:ascii="Times New Roman" w:eastAsia="Calibri" w:hAnsi="Times New Roman" w:cs="Times New Roman"/>
          <w:sz w:val="28"/>
          <w:szCs w:val="24"/>
        </w:rPr>
        <w:t xml:space="preserve">товарами бытового </w:t>
      </w:r>
      <w:r w:rsidR="000A3FEA" w:rsidRPr="002916AD">
        <w:rPr>
          <w:rFonts w:ascii="Times New Roman" w:eastAsia="Calibri" w:hAnsi="Times New Roman" w:cs="Times New Roman"/>
          <w:sz w:val="28"/>
          <w:szCs w:val="24"/>
        </w:rPr>
        <w:t>назначения, угарным газо</w:t>
      </w:r>
      <w:r w:rsidR="00BC498A" w:rsidRPr="002916AD">
        <w:rPr>
          <w:rFonts w:ascii="Times New Roman" w:eastAsia="Calibri" w:hAnsi="Times New Roman" w:cs="Times New Roman"/>
          <w:sz w:val="28"/>
          <w:szCs w:val="24"/>
        </w:rPr>
        <w:t xml:space="preserve">м, уксусной кислотой, </w:t>
      </w:r>
      <w:r w:rsidR="00BC498A" w:rsidRPr="002916A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ядом животного </w:t>
      </w:r>
      <w:r w:rsidR="000A3FEA" w:rsidRPr="002916AD">
        <w:rPr>
          <w:rFonts w:ascii="Times New Roman" w:eastAsia="Calibri" w:hAnsi="Times New Roman" w:cs="Times New Roman"/>
          <w:sz w:val="28"/>
          <w:szCs w:val="24"/>
        </w:rPr>
        <w:t>пр</w:t>
      </w:r>
      <w:r w:rsidR="00BC498A" w:rsidRPr="002916AD">
        <w:rPr>
          <w:rFonts w:ascii="Times New Roman" w:eastAsia="Calibri" w:hAnsi="Times New Roman" w:cs="Times New Roman"/>
          <w:sz w:val="28"/>
          <w:szCs w:val="24"/>
        </w:rPr>
        <w:t>оисхождения</w:t>
      </w:r>
      <w:r w:rsidR="000A3FE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с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24,2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до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25,1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C64AD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году,</w:t>
      </w:r>
      <w:r w:rsidR="000A3FE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лекарственными препаратами с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28,1</w:t>
      </w:r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</w:t>
      </w:r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до</w:t>
      </w:r>
      <w:proofErr w:type="gramEnd"/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30,6</w:t>
      </w:r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8720B8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</w:t>
      </w:r>
      <w:r w:rsidR="0037267F" w:rsidRPr="002916AD">
        <w:rPr>
          <w:rFonts w:ascii="Times New Roman" w:eastAsia="TimesNewRomanPSMT" w:hAnsi="Times New Roman" w:cs="Times New Roman"/>
          <w:sz w:val="28"/>
          <w:szCs w:val="24"/>
        </w:rPr>
        <w:t>.</w:t>
      </w:r>
    </w:p>
    <w:p w:rsidR="008A7916" w:rsidRPr="008C468A" w:rsidRDefault="00C64AD5" w:rsidP="008C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При </w:t>
      </w:r>
      <w:r w:rsidR="009845CE">
        <w:rPr>
          <w:rFonts w:ascii="Times New Roman" w:eastAsia="TimesNewRomanPSMT" w:hAnsi="Times New Roman" w:cs="Times New Roman"/>
          <w:sz w:val="28"/>
          <w:szCs w:val="24"/>
        </w:rPr>
        <w:t>снижении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общего числа отравлений за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год, смертность от</w:t>
      </w:r>
      <w:r w:rsidR="000A3FE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острых отравлений химической этиологии </w:t>
      </w:r>
      <w:r w:rsidR="008720B8">
        <w:rPr>
          <w:rFonts w:ascii="Times New Roman" w:eastAsia="TimesNewRomanPSMT" w:hAnsi="Times New Roman" w:cs="Times New Roman"/>
          <w:sz w:val="28"/>
          <w:szCs w:val="24"/>
        </w:rPr>
        <w:t xml:space="preserve">так же </w:t>
      </w:r>
      <w:r w:rsidR="009845CE">
        <w:rPr>
          <w:rFonts w:ascii="Times New Roman" w:eastAsia="TimesNewRomanPSMT" w:hAnsi="Times New Roman" w:cs="Times New Roman"/>
          <w:sz w:val="28"/>
          <w:szCs w:val="24"/>
        </w:rPr>
        <w:t>снизилась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20,2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году (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130</w:t>
      </w:r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случаев летальных исходов), до 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12,7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(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82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064871">
        <w:rPr>
          <w:rFonts w:ascii="Times New Roman" w:eastAsia="TimesNewRomanPSMT" w:hAnsi="Times New Roman" w:cs="Times New Roman"/>
          <w:sz w:val="28"/>
          <w:szCs w:val="24"/>
        </w:rPr>
        <w:t>я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летальных</w:t>
      </w:r>
      <w:r w:rsidRPr="002916AD">
        <w:rPr>
          <w:rFonts w:ascii="TimesNewRomanPSMT" w:eastAsia="TimesNewRomanPSMT" w:cs="TimesNewRomanPSMT" w:hint="eastAsia"/>
          <w:sz w:val="26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исходов). 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>Наибольш</w:t>
      </w:r>
      <w:r w:rsidR="00064871">
        <w:rPr>
          <w:rFonts w:ascii="Times New Roman" w:eastAsia="TimesNewRomanPSMT" w:hAnsi="Times New Roman" w:cs="Times New Roman"/>
          <w:sz w:val="28"/>
          <w:szCs w:val="28"/>
        </w:rPr>
        <w:t>ее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4871">
        <w:rPr>
          <w:rFonts w:ascii="Times New Roman" w:eastAsia="TimesNewRomanPSMT" w:hAnsi="Times New Roman" w:cs="Times New Roman"/>
          <w:sz w:val="28"/>
          <w:szCs w:val="28"/>
        </w:rPr>
        <w:t>количество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 летальных исходов</w:t>
      </w:r>
      <w:r w:rsidR="00064871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4871">
        <w:rPr>
          <w:rFonts w:ascii="Times New Roman" w:eastAsia="TimesNewRomanPSMT" w:hAnsi="Times New Roman" w:cs="Times New Roman"/>
          <w:sz w:val="28"/>
          <w:szCs w:val="28"/>
        </w:rPr>
        <w:t>55 случаев из 82,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 приходится – на отравления алкоголем и другими спиртосодержащими препаратами, </w:t>
      </w:r>
      <w:r w:rsidR="00064871">
        <w:rPr>
          <w:rFonts w:ascii="Times New Roman" w:eastAsia="TimesNewRomanPSMT" w:hAnsi="Times New Roman" w:cs="Times New Roman"/>
          <w:sz w:val="28"/>
          <w:szCs w:val="28"/>
        </w:rPr>
        <w:t>13</w:t>
      </w:r>
      <w:r w:rsidR="008C468A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916AD">
        <w:rPr>
          <w:rFonts w:ascii="Times New Roman" w:eastAsia="TimesNewRomanPS-BoldMT" w:hAnsi="Times New Roman" w:cs="Times New Roman"/>
          <w:bCs/>
          <w:sz w:val="28"/>
          <w:szCs w:val="28"/>
        </w:rPr>
        <w:t>(рис</w:t>
      </w:r>
      <w:r w:rsidRPr="002916AD">
        <w:rPr>
          <w:rFonts w:ascii="Times New Roman" w:eastAsia="TimesNewRomanPSMT" w:hAnsi="Times New Roman" w:cs="Times New Roman"/>
          <w:bCs/>
          <w:sz w:val="28"/>
          <w:szCs w:val="28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№ </w:t>
      </w:r>
      <w:r w:rsidRPr="002916AD"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Pr="008C468A">
        <w:rPr>
          <w:rFonts w:ascii="Times New Roman" w:eastAsia="TimesNewRomanPSMT" w:hAnsi="Times New Roman" w:cs="Times New Roman"/>
          <w:bCs/>
          <w:sz w:val="24"/>
          <w:szCs w:val="24"/>
        </w:rPr>
        <w:t>).</w:t>
      </w:r>
    </w:p>
    <w:p w:rsidR="00A80B4C" w:rsidRDefault="00A80B4C" w:rsidP="00C6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F5DA8" w:rsidRDefault="006F5C98" w:rsidP="004F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F5C98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3204100"/>
            <wp:effectExtent l="19050" t="0" r="1333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4DA" w:rsidRDefault="00B064DA" w:rsidP="00A8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Cs w:val="20"/>
        </w:rPr>
      </w:pPr>
    </w:p>
    <w:p w:rsidR="00B064DA" w:rsidRDefault="00B064DA" w:rsidP="00A8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Cs w:val="20"/>
        </w:rPr>
      </w:pPr>
    </w:p>
    <w:p w:rsidR="00A80B4C" w:rsidRPr="008C468A" w:rsidRDefault="00A80B4C" w:rsidP="00A8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8C468A">
        <w:rPr>
          <w:rFonts w:ascii="Times New Roman" w:eastAsia="TimesNewRomanPS-BoldMT" w:hAnsi="Times New Roman" w:cs="Times New Roman"/>
          <w:b/>
          <w:bCs/>
          <w:szCs w:val="20"/>
        </w:rPr>
        <w:t xml:space="preserve">Рис. № 2. </w:t>
      </w:r>
      <w:r w:rsidRPr="008C468A">
        <w:rPr>
          <w:rFonts w:ascii="Times New Roman" w:eastAsia="TimesNewRomanPSMT" w:hAnsi="Times New Roman" w:cs="Times New Roman"/>
          <w:szCs w:val="20"/>
        </w:rPr>
        <w:t xml:space="preserve">Динамика острых отравлений химической этиологии по их видам </w:t>
      </w:r>
    </w:p>
    <w:p w:rsidR="00A80B4C" w:rsidRDefault="00A80B4C" w:rsidP="00A8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0"/>
          <w:szCs w:val="20"/>
        </w:rPr>
      </w:pPr>
      <w:r w:rsidRPr="008C468A">
        <w:rPr>
          <w:rFonts w:ascii="Times New Roman" w:eastAsia="TimesNewRomanPSMT" w:hAnsi="Times New Roman" w:cs="Times New Roman"/>
          <w:szCs w:val="20"/>
        </w:rPr>
        <w:t xml:space="preserve">с летальным исходом среди населения Костромской области за </w:t>
      </w:r>
      <w:r w:rsidRPr="008C468A">
        <w:rPr>
          <w:rFonts w:ascii="Times New Roman" w:eastAsia="TimesNewRomanPS-BoldMT" w:hAnsi="Times New Roman" w:cs="Times New Roman"/>
          <w:szCs w:val="20"/>
        </w:rPr>
        <w:t>20</w:t>
      </w:r>
      <w:r w:rsidR="006B1FFA">
        <w:rPr>
          <w:rFonts w:ascii="Times New Roman" w:eastAsia="TimesNewRomanPS-BoldMT" w:hAnsi="Times New Roman" w:cs="Times New Roman"/>
          <w:szCs w:val="20"/>
        </w:rPr>
        <w:t>1</w:t>
      </w:r>
      <w:r w:rsidR="006F5C98">
        <w:rPr>
          <w:rFonts w:ascii="Times New Roman" w:eastAsia="TimesNewRomanPS-BoldMT" w:hAnsi="Times New Roman" w:cs="Times New Roman"/>
          <w:szCs w:val="20"/>
        </w:rPr>
        <w:t>5</w:t>
      </w:r>
      <w:r w:rsidRPr="008C468A">
        <w:rPr>
          <w:rFonts w:ascii="Times New Roman" w:eastAsia="TimesNewRomanPS-BoldMT" w:hAnsi="Times New Roman" w:cs="Times New Roman"/>
          <w:szCs w:val="20"/>
        </w:rPr>
        <w:t>-20</w:t>
      </w:r>
      <w:r w:rsidR="006B1FFA">
        <w:rPr>
          <w:rFonts w:ascii="Times New Roman" w:eastAsia="TimesNewRomanPS-BoldMT" w:hAnsi="Times New Roman" w:cs="Times New Roman"/>
          <w:szCs w:val="20"/>
        </w:rPr>
        <w:t>1</w:t>
      </w:r>
      <w:r w:rsidR="006F5C98">
        <w:rPr>
          <w:rFonts w:ascii="Times New Roman" w:eastAsia="TimesNewRomanPS-BoldMT" w:hAnsi="Times New Roman" w:cs="Times New Roman"/>
          <w:szCs w:val="20"/>
        </w:rPr>
        <w:t>9</w:t>
      </w:r>
      <w:r w:rsidRPr="008C468A">
        <w:rPr>
          <w:rFonts w:ascii="Times New Roman" w:eastAsia="TimesNewRomanPSMT" w:hAnsi="Times New Roman" w:cs="Times New Roman"/>
          <w:szCs w:val="20"/>
        </w:rPr>
        <w:t>гг</w:t>
      </w:r>
      <w:r w:rsidRPr="008C468A">
        <w:rPr>
          <w:rFonts w:ascii="Times New Roman" w:eastAsia="TimesNewRomanPS-BoldMT" w:hAnsi="Times New Roman" w:cs="Times New Roman"/>
          <w:szCs w:val="20"/>
        </w:rPr>
        <w:t>.</w:t>
      </w:r>
    </w:p>
    <w:p w:rsidR="00A80B4C" w:rsidRDefault="00A80B4C" w:rsidP="00A8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0"/>
          <w:szCs w:val="20"/>
        </w:rPr>
      </w:pPr>
    </w:p>
    <w:p w:rsidR="00A80B4C" w:rsidRPr="00824193" w:rsidRDefault="00A80B4C" w:rsidP="00A80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24193">
        <w:rPr>
          <w:rFonts w:ascii="Times New Roman" w:eastAsia="TimesNewRomanPSMT" w:hAnsi="Times New Roman" w:cs="Times New Roman"/>
          <w:sz w:val="28"/>
          <w:szCs w:val="24"/>
        </w:rPr>
        <w:t>Количество летальных исходов в отдельных группах следующее:</w:t>
      </w:r>
    </w:p>
    <w:p w:rsidR="00A80B4C" w:rsidRPr="00824193" w:rsidRDefault="00A80B4C" w:rsidP="00A8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24193">
        <w:rPr>
          <w:rFonts w:ascii="Times New Roman" w:eastAsia="TimesNewRomanPSMT" w:hAnsi="Times New Roman" w:cs="Times New Roman"/>
          <w:sz w:val="28"/>
          <w:szCs w:val="24"/>
        </w:rPr>
        <w:t>- отравления алкоголем и другими спиртосодержащими препаратами - в данной группе наибольш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ее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 xml:space="preserve">количество смертей 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>(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55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летальны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х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исход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ов</w:t>
      </w:r>
      <w:r w:rsidR="003C0729" w:rsidRPr="0082419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из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77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отравлений),</w:t>
      </w:r>
    </w:p>
    <w:p w:rsidR="00A80B4C" w:rsidRDefault="00A80B4C" w:rsidP="00A8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- отравления наркотиками -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17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летальных исходов из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20 случаев отравлений,</w:t>
      </w:r>
    </w:p>
    <w:p w:rsidR="00B550B1" w:rsidRPr="00824193" w:rsidRDefault="00B550B1" w:rsidP="00A8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>- прочие отрав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 xml:space="preserve">ления - </w:t>
      </w:r>
      <w:r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летальных исходов из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55 случаев отравлений</w:t>
      </w:r>
      <w:r>
        <w:rPr>
          <w:rFonts w:ascii="Times New Roman" w:eastAsia="TimesNewRomanPSMT" w:hAnsi="Times New Roman" w:cs="Times New Roman"/>
          <w:sz w:val="28"/>
          <w:szCs w:val="24"/>
        </w:rPr>
        <w:t>,</w:t>
      </w:r>
    </w:p>
    <w:p w:rsidR="00A80B4C" w:rsidRPr="00824193" w:rsidRDefault="00A80B4C" w:rsidP="00A8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- отравления лекарственными препаратами -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2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летальных исход</w:t>
      </w:r>
      <w:r w:rsidR="00067166" w:rsidRPr="00824193">
        <w:rPr>
          <w:rFonts w:ascii="Times New Roman" w:eastAsia="TimesNewRomanPSMT" w:hAnsi="Times New Roman" w:cs="Times New Roman"/>
          <w:sz w:val="28"/>
          <w:szCs w:val="24"/>
        </w:rPr>
        <w:t>а</w:t>
      </w:r>
      <w:r w:rsidRPr="00824193">
        <w:rPr>
          <w:rFonts w:ascii="Times New Roman" w:eastAsia="TimesNewRomanPSMT" w:hAnsi="Times New Roman" w:cs="Times New Roman"/>
          <w:sz w:val="28"/>
          <w:szCs w:val="24"/>
        </w:rPr>
        <w:t xml:space="preserve"> из 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67</w:t>
      </w:r>
      <w:r w:rsidR="00DC0F1E" w:rsidRPr="00824193">
        <w:rPr>
          <w:rFonts w:ascii="Times New Roman" w:eastAsia="TimesNewRomanPSMT" w:hAnsi="Times New Roman" w:cs="Times New Roman"/>
          <w:sz w:val="28"/>
          <w:szCs w:val="24"/>
        </w:rPr>
        <w:t xml:space="preserve"> случаев</w:t>
      </w:r>
      <w:r w:rsidR="0043047B">
        <w:rPr>
          <w:rFonts w:ascii="Times New Roman" w:eastAsia="TimesNewRomanPSMT" w:hAnsi="Times New Roman" w:cs="Times New Roman"/>
          <w:sz w:val="28"/>
          <w:szCs w:val="24"/>
        </w:rPr>
        <w:t>.</w:t>
      </w:r>
    </w:p>
    <w:p w:rsidR="00067166" w:rsidRPr="00F16FF2" w:rsidRDefault="00067166" w:rsidP="0006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16FF2">
        <w:rPr>
          <w:rFonts w:ascii="Times New Roman" w:hAnsi="Times New Roman"/>
          <w:sz w:val="28"/>
          <w:szCs w:val="24"/>
          <w:lang w:eastAsia="ru-RU"/>
        </w:rPr>
        <w:t>Показатель ООХЭ среди взрослого населения в 201</w:t>
      </w:r>
      <w:r w:rsidR="0043047B">
        <w:rPr>
          <w:rFonts w:ascii="Times New Roman" w:hAnsi="Times New Roman"/>
          <w:sz w:val="28"/>
          <w:szCs w:val="24"/>
          <w:lang w:eastAsia="ru-RU"/>
        </w:rPr>
        <w:t>9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 г. составил </w:t>
      </w:r>
      <w:r w:rsidR="0043047B">
        <w:rPr>
          <w:rFonts w:ascii="Times New Roman" w:hAnsi="Times New Roman"/>
          <w:sz w:val="28"/>
          <w:szCs w:val="24"/>
          <w:lang w:eastAsia="ru-RU"/>
        </w:rPr>
        <w:t>33,9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 случаев на 100 тыс. населения (201</w:t>
      </w:r>
      <w:r w:rsidR="0043047B">
        <w:rPr>
          <w:rFonts w:ascii="Times New Roman" w:hAnsi="Times New Roman"/>
          <w:sz w:val="28"/>
          <w:szCs w:val="24"/>
          <w:lang w:eastAsia="ru-RU"/>
        </w:rPr>
        <w:t>8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г. – </w:t>
      </w:r>
      <w:r w:rsidR="0043047B">
        <w:rPr>
          <w:rFonts w:ascii="Times New Roman" w:hAnsi="Times New Roman"/>
          <w:sz w:val="28"/>
          <w:szCs w:val="24"/>
          <w:lang w:eastAsia="ru-RU"/>
        </w:rPr>
        <w:t>43,0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); среди подросткового населения – </w:t>
      </w:r>
      <w:r w:rsidR="0043047B">
        <w:rPr>
          <w:rFonts w:ascii="Times New Roman" w:hAnsi="Times New Roman"/>
          <w:sz w:val="28"/>
          <w:szCs w:val="24"/>
          <w:lang w:eastAsia="ru-RU"/>
        </w:rPr>
        <w:t>96,7</w:t>
      </w:r>
      <w:r w:rsidR="00DC0F1E" w:rsidRPr="003D392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D392D">
        <w:rPr>
          <w:rFonts w:ascii="Times New Roman" w:hAnsi="Times New Roman"/>
          <w:sz w:val="28"/>
          <w:szCs w:val="24"/>
          <w:lang w:eastAsia="ru-RU"/>
        </w:rPr>
        <w:t>на 100 тыс. населения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 (201</w:t>
      </w:r>
      <w:r w:rsidR="0043047B">
        <w:rPr>
          <w:rFonts w:ascii="Times New Roman" w:hAnsi="Times New Roman"/>
          <w:sz w:val="28"/>
          <w:szCs w:val="24"/>
          <w:lang w:eastAsia="ru-RU"/>
        </w:rPr>
        <w:t>8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г. – </w:t>
      </w:r>
      <w:r w:rsidR="0043047B">
        <w:rPr>
          <w:rFonts w:ascii="Times New Roman" w:hAnsi="Times New Roman"/>
          <w:sz w:val="28"/>
          <w:szCs w:val="24"/>
          <w:lang w:eastAsia="ru-RU"/>
        </w:rPr>
        <w:t>101,2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); среди детского населения </w:t>
      </w:r>
      <w:r w:rsidR="0043047B">
        <w:rPr>
          <w:rFonts w:ascii="Times New Roman" w:hAnsi="Times New Roman"/>
          <w:sz w:val="28"/>
          <w:szCs w:val="24"/>
          <w:lang w:eastAsia="ru-RU"/>
        </w:rPr>
        <w:t>31,5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 на 100 тыс. населения (201</w:t>
      </w:r>
      <w:r w:rsidR="0043047B">
        <w:rPr>
          <w:rFonts w:ascii="Times New Roman" w:hAnsi="Times New Roman"/>
          <w:sz w:val="28"/>
          <w:szCs w:val="24"/>
          <w:lang w:eastAsia="ru-RU"/>
        </w:rPr>
        <w:t>8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г. </w:t>
      </w:r>
      <w:r w:rsidR="0043047B">
        <w:rPr>
          <w:rFonts w:ascii="Times New Roman" w:hAnsi="Times New Roman"/>
          <w:sz w:val="28"/>
          <w:szCs w:val="24"/>
          <w:lang w:eastAsia="ru-RU"/>
        </w:rPr>
        <w:t>–</w:t>
      </w:r>
      <w:r w:rsidR="00220A16" w:rsidRPr="00F16F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3047B">
        <w:rPr>
          <w:rFonts w:ascii="Times New Roman" w:hAnsi="Times New Roman"/>
          <w:sz w:val="28"/>
          <w:szCs w:val="24"/>
          <w:lang w:eastAsia="ru-RU"/>
        </w:rPr>
        <w:t>35,8)</w:t>
      </w:r>
      <w:r w:rsidRPr="00F16FF2">
        <w:rPr>
          <w:rFonts w:ascii="Times New Roman" w:hAnsi="Times New Roman"/>
          <w:sz w:val="28"/>
          <w:szCs w:val="24"/>
          <w:lang w:eastAsia="ru-RU"/>
        </w:rPr>
        <w:t>.</w:t>
      </w:r>
    </w:p>
    <w:p w:rsidR="0037267F" w:rsidRPr="001C3E18" w:rsidRDefault="00F16FF2" w:rsidP="001C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067166" w:rsidRPr="00F16FF2">
        <w:rPr>
          <w:rFonts w:ascii="Times New Roman" w:hAnsi="Times New Roman"/>
          <w:sz w:val="28"/>
          <w:szCs w:val="24"/>
          <w:lang w:eastAsia="ru-RU"/>
        </w:rPr>
        <w:t xml:space="preserve"> 201</w:t>
      </w:r>
      <w:r w:rsidRPr="00F16FF2">
        <w:rPr>
          <w:rFonts w:ascii="Times New Roman" w:hAnsi="Times New Roman"/>
          <w:sz w:val="28"/>
          <w:szCs w:val="24"/>
          <w:lang w:eastAsia="ru-RU"/>
        </w:rPr>
        <w:t>8</w:t>
      </w:r>
      <w:r w:rsidR="00067166" w:rsidRPr="00F16FF2">
        <w:rPr>
          <w:rFonts w:ascii="Times New Roman" w:hAnsi="Times New Roman"/>
          <w:sz w:val="28"/>
          <w:szCs w:val="24"/>
          <w:lang w:eastAsia="ru-RU"/>
        </w:rPr>
        <w:t xml:space="preserve"> г. в сравнении с предыдущим годом, отмечено снижение показателей ООХЭ в возрастн</w:t>
      </w:r>
      <w:r w:rsidR="0043047B">
        <w:rPr>
          <w:rFonts w:ascii="Times New Roman" w:hAnsi="Times New Roman"/>
          <w:sz w:val="28"/>
          <w:szCs w:val="24"/>
          <w:lang w:eastAsia="ru-RU"/>
        </w:rPr>
        <w:t>ых</w:t>
      </w:r>
      <w:r w:rsidR="00067166" w:rsidRPr="00F16FF2">
        <w:rPr>
          <w:rFonts w:ascii="Times New Roman" w:hAnsi="Times New Roman"/>
          <w:sz w:val="28"/>
          <w:szCs w:val="24"/>
          <w:lang w:eastAsia="ru-RU"/>
        </w:rPr>
        <w:t xml:space="preserve"> групп</w:t>
      </w:r>
      <w:r w:rsidR="0043047B">
        <w:rPr>
          <w:rFonts w:ascii="Times New Roman" w:hAnsi="Times New Roman"/>
          <w:sz w:val="28"/>
          <w:szCs w:val="24"/>
          <w:lang w:eastAsia="ru-RU"/>
        </w:rPr>
        <w:t>ах</w:t>
      </w:r>
      <w:r w:rsidR="00067166" w:rsidRPr="00F16F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16FF2">
        <w:rPr>
          <w:rFonts w:ascii="Times New Roman" w:hAnsi="Times New Roman"/>
          <w:sz w:val="28"/>
          <w:szCs w:val="24"/>
          <w:lang w:eastAsia="ru-RU"/>
        </w:rPr>
        <w:t>взрослые</w:t>
      </w:r>
      <w:r w:rsidR="0043047B">
        <w:rPr>
          <w:rFonts w:ascii="Times New Roman" w:hAnsi="Times New Roman"/>
          <w:sz w:val="28"/>
          <w:szCs w:val="24"/>
          <w:lang w:eastAsia="ru-RU"/>
        </w:rPr>
        <w:t xml:space="preserve"> и подростки</w:t>
      </w:r>
      <w:r w:rsidRPr="00F16F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C468A" w:rsidRPr="00F16FF2">
        <w:rPr>
          <w:rFonts w:ascii="Times New Roman" w:hAnsi="Times New Roman"/>
          <w:sz w:val="28"/>
          <w:szCs w:val="24"/>
          <w:lang w:eastAsia="ru-RU"/>
        </w:rPr>
        <w:t>(таб. № 3).</w:t>
      </w:r>
    </w:p>
    <w:p w:rsidR="0037267F" w:rsidRDefault="0037267F" w:rsidP="00067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267F" w:rsidRDefault="0037267F" w:rsidP="00067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6AD" w:rsidRDefault="002916AD" w:rsidP="00067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047B" w:rsidRDefault="0043047B" w:rsidP="00067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166" w:rsidRDefault="00067166" w:rsidP="00067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Таблица №</w:t>
      </w:r>
      <w:r w:rsidR="008C468A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067166" w:rsidRDefault="00067166" w:rsidP="0006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00786">
        <w:rPr>
          <w:rFonts w:ascii="Times New Roman" w:hAnsi="Times New Roman"/>
          <w:b/>
          <w:bCs/>
          <w:lang w:eastAsia="ru-RU"/>
        </w:rPr>
        <w:t xml:space="preserve">Динамика острых отравлений химической этиологии по возрастным группам </w:t>
      </w:r>
    </w:p>
    <w:p w:rsidR="00067166" w:rsidRPr="00700786" w:rsidRDefault="00067166" w:rsidP="0006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00786">
        <w:rPr>
          <w:rFonts w:ascii="Times New Roman" w:hAnsi="Times New Roman"/>
          <w:b/>
          <w:bCs/>
          <w:lang w:eastAsia="ru-RU"/>
        </w:rPr>
        <w:t>в Костромской области</w:t>
      </w:r>
      <w:proofErr w:type="gramStart"/>
      <w:r w:rsidRPr="00700786">
        <w:rPr>
          <w:rFonts w:ascii="Times New Roman" w:hAnsi="Times New Roman"/>
          <w:b/>
          <w:bCs/>
          <w:lang w:eastAsia="ru-RU"/>
        </w:rPr>
        <w:t xml:space="preserve"> (%)</w:t>
      </w:r>
      <w:proofErr w:type="gramEnd"/>
    </w:p>
    <w:tbl>
      <w:tblPr>
        <w:tblpPr w:leftFromText="180" w:rightFromText="180" w:vertAnchor="text" w:horzAnchor="margin" w:tblpXSpec="center" w:tblpY="260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9"/>
        <w:gridCol w:w="992"/>
        <w:gridCol w:w="709"/>
        <w:gridCol w:w="992"/>
        <w:gridCol w:w="709"/>
        <w:gridCol w:w="992"/>
        <w:gridCol w:w="755"/>
        <w:gridCol w:w="946"/>
        <w:gridCol w:w="825"/>
        <w:gridCol w:w="1018"/>
      </w:tblGrid>
      <w:tr w:rsidR="00067166" w:rsidRPr="00700786" w:rsidTr="00067166">
        <w:tc>
          <w:tcPr>
            <w:tcW w:w="2660" w:type="dxa"/>
            <w:vMerge w:val="restart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Возрастные группы</w:t>
            </w:r>
          </w:p>
        </w:tc>
        <w:tc>
          <w:tcPr>
            <w:tcW w:w="1701" w:type="dxa"/>
            <w:gridSpan w:val="2"/>
          </w:tcPr>
          <w:p w:rsidR="00067166" w:rsidRPr="00700786" w:rsidRDefault="00067166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43047B">
              <w:rPr>
                <w:rFonts w:ascii="Times New Roman" w:hAnsi="Times New Roman"/>
                <w:bCs/>
                <w:lang w:eastAsia="ru-RU"/>
              </w:rPr>
              <w:t>5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</w:tcPr>
          <w:p w:rsidR="00067166" w:rsidRPr="00700786" w:rsidRDefault="00067166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43047B">
              <w:rPr>
                <w:rFonts w:ascii="Times New Roman" w:hAnsi="Times New Roman"/>
                <w:bCs/>
                <w:lang w:eastAsia="ru-RU"/>
              </w:rPr>
              <w:t>6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</w:tcPr>
          <w:p w:rsidR="00067166" w:rsidRPr="00700786" w:rsidRDefault="00067166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43047B">
              <w:rPr>
                <w:rFonts w:ascii="Times New Roman" w:hAnsi="Times New Roman"/>
                <w:bCs/>
                <w:lang w:eastAsia="ru-RU"/>
              </w:rPr>
              <w:t>7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</w:tcPr>
          <w:p w:rsidR="00067166" w:rsidRPr="00700786" w:rsidRDefault="00067166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43047B">
              <w:rPr>
                <w:rFonts w:ascii="Times New Roman" w:hAnsi="Times New Roman"/>
                <w:bCs/>
                <w:lang w:eastAsia="ru-RU"/>
              </w:rPr>
              <w:t>8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gridSpan w:val="2"/>
          </w:tcPr>
          <w:p w:rsidR="00067166" w:rsidRPr="00700786" w:rsidRDefault="00067166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43047B">
              <w:rPr>
                <w:rFonts w:ascii="Times New Roman" w:hAnsi="Times New Roman"/>
                <w:bCs/>
                <w:lang w:eastAsia="ru-RU"/>
              </w:rPr>
              <w:t>9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067166" w:rsidRPr="00700786" w:rsidTr="00067166">
        <w:tc>
          <w:tcPr>
            <w:tcW w:w="2660" w:type="dxa"/>
            <w:vMerge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</w:tc>
        <w:tc>
          <w:tcPr>
            <w:tcW w:w="992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709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</w:tc>
        <w:tc>
          <w:tcPr>
            <w:tcW w:w="992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709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</w:tc>
        <w:tc>
          <w:tcPr>
            <w:tcW w:w="992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755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</w:tc>
        <w:tc>
          <w:tcPr>
            <w:tcW w:w="946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</w:tr>
      <w:tr w:rsidR="0043047B" w:rsidRPr="00700786" w:rsidTr="00067166">
        <w:tc>
          <w:tcPr>
            <w:tcW w:w="2660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Взрослое население</w:t>
            </w:r>
          </w:p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(18 лет и старше)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345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84,2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298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87,1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336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87,7</w:t>
            </w:r>
          </w:p>
        </w:tc>
        <w:tc>
          <w:tcPr>
            <w:tcW w:w="755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</w:t>
            </w:r>
          </w:p>
        </w:tc>
        <w:tc>
          <w:tcPr>
            <w:tcW w:w="946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79,4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78,5</w:t>
            </w:r>
          </w:p>
        </w:tc>
      </w:tr>
      <w:tr w:rsidR="0043047B" w:rsidRPr="00700786" w:rsidTr="00067166">
        <w:tc>
          <w:tcPr>
            <w:tcW w:w="2660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Подростковое население</w:t>
            </w:r>
          </w:p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(15-17 лет включительно)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5,4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3,5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2,9</w:t>
            </w:r>
          </w:p>
        </w:tc>
        <w:tc>
          <w:tcPr>
            <w:tcW w:w="755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946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6,4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5,5</w:t>
            </w:r>
          </w:p>
        </w:tc>
      </w:tr>
      <w:tr w:rsidR="0043047B" w:rsidRPr="00700786" w:rsidTr="00067166">
        <w:tc>
          <w:tcPr>
            <w:tcW w:w="2660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Детское население</w:t>
            </w:r>
          </w:p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(0-14 лет включительно)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9,4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9,4</w:t>
            </w:r>
          </w:p>
        </w:tc>
        <w:tc>
          <w:tcPr>
            <w:tcW w:w="709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</w:t>
            </w:r>
          </w:p>
        </w:tc>
        <w:tc>
          <w:tcPr>
            <w:tcW w:w="992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9,4</w:t>
            </w:r>
          </w:p>
        </w:tc>
        <w:tc>
          <w:tcPr>
            <w:tcW w:w="755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946" w:type="dxa"/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14,2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3047B" w:rsidRPr="00700786" w:rsidRDefault="0043047B" w:rsidP="004304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15,9</w:t>
            </w:r>
          </w:p>
        </w:tc>
      </w:tr>
    </w:tbl>
    <w:p w:rsidR="00067166" w:rsidRPr="00700786" w:rsidRDefault="00067166" w:rsidP="0006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166" w:rsidRPr="00A95B3F" w:rsidRDefault="00067166" w:rsidP="0006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95B3F">
        <w:rPr>
          <w:rFonts w:ascii="Times New Roman" w:hAnsi="Times New Roman"/>
          <w:sz w:val="28"/>
          <w:szCs w:val="24"/>
        </w:rPr>
        <w:t>Наибольшее число острых отравлений химической этиологии зарегистрировано среди лиц в возрасте 26-39 лет</w:t>
      </w:r>
      <w:r w:rsidR="008143D6" w:rsidRPr="00A95B3F">
        <w:rPr>
          <w:rFonts w:ascii="Times New Roman" w:hAnsi="Times New Roman"/>
          <w:sz w:val="28"/>
          <w:szCs w:val="24"/>
        </w:rPr>
        <w:t xml:space="preserve"> и 60 лет и старше</w:t>
      </w:r>
      <w:r w:rsidRPr="00A95B3F">
        <w:rPr>
          <w:rFonts w:ascii="Times New Roman" w:hAnsi="Times New Roman"/>
          <w:sz w:val="28"/>
          <w:szCs w:val="24"/>
        </w:rPr>
        <w:t>, удельный вес от числа пострадавших составил соответственно 2</w:t>
      </w:r>
      <w:r w:rsidR="00A95B3F" w:rsidRPr="00A95B3F">
        <w:rPr>
          <w:rFonts w:ascii="Times New Roman" w:hAnsi="Times New Roman"/>
          <w:sz w:val="28"/>
          <w:szCs w:val="24"/>
        </w:rPr>
        <w:t>2</w:t>
      </w:r>
      <w:r w:rsidRPr="00A95B3F">
        <w:rPr>
          <w:rFonts w:ascii="Times New Roman" w:hAnsi="Times New Roman"/>
          <w:sz w:val="28"/>
          <w:szCs w:val="24"/>
        </w:rPr>
        <w:t>,4%</w:t>
      </w:r>
      <w:r w:rsidR="00A95B3F" w:rsidRPr="00A95B3F">
        <w:rPr>
          <w:rFonts w:ascii="Times New Roman" w:hAnsi="Times New Roman"/>
          <w:sz w:val="28"/>
          <w:szCs w:val="24"/>
        </w:rPr>
        <w:t xml:space="preserve"> и 19,2</w:t>
      </w:r>
      <w:r w:rsidR="00CE15AF">
        <w:rPr>
          <w:rFonts w:ascii="Times New Roman" w:hAnsi="Times New Roman"/>
          <w:sz w:val="28"/>
          <w:szCs w:val="24"/>
        </w:rPr>
        <w:t>%</w:t>
      </w:r>
      <w:r w:rsidRPr="00A95B3F">
        <w:rPr>
          <w:rFonts w:ascii="Times New Roman" w:hAnsi="Times New Roman"/>
          <w:sz w:val="28"/>
          <w:szCs w:val="24"/>
        </w:rPr>
        <w:t xml:space="preserve">, далее следует возрастная группа 50-59 лет – </w:t>
      </w:r>
      <w:r w:rsidR="00A95B3F" w:rsidRPr="00A95B3F">
        <w:rPr>
          <w:rFonts w:ascii="Times New Roman" w:hAnsi="Times New Roman"/>
          <w:sz w:val="28"/>
          <w:szCs w:val="24"/>
        </w:rPr>
        <w:t>17,8</w:t>
      </w:r>
      <w:r w:rsidRPr="00A95B3F">
        <w:rPr>
          <w:rFonts w:ascii="Times New Roman" w:hAnsi="Times New Roman"/>
          <w:sz w:val="28"/>
          <w:szCs w:val="24"/>
        </w:rPr>
        <w:t xml:space="preserve">%, 40-49 лет – </w:t>
      </w:r>
      <w:r w:rsidR="00A95B3F" w:rsidRPr="00A95B3F">
        <w:rPr>
          <w:rFonts w:ascii="Times New Roman" w:hAnsi="Times New Roman"/>
          <w:sz w:val="28"/>
          <w:szCs w:val="24"/>
        </w:rPr>
        <w:t>15,3%, 7-17 лет и</w:t>
      </w:r>
      <w:r w:rsidRPr="00A95B3F">
        <w:rPr>
          <w:rFonts w:ascii="Times New Roman" w:hAnsi="Times New Roman"/>
          <w:sz w:val="28"/>
          <w:szCs w:val="24"/>
        </w:rPr>
        <w:t xml:space="preserve"> 0-6 лет по </w:t>
      </w:r>
      <w:r w:rsidR="00A95B3F" w:rsidRPr="00A95B3F">
        <w:rPr>
          <w:rFonts w:ascii="Times New Roman" w:hAnsi="Times New Roman"/>
          <w:sz w:val="28"/>
          <w:szCs w:val="24"/>
        </w:rPr>
        <w:t>11,7</w:t>
      </w:r>
      <w:r w:rsidRPr="00A95B3F">
        <w:rPr>
          <w:rFonts w:ascii="Times New Roman" w:hAnsi="Times New Roman"/>
          <w:sz w:val="28"/>
          <w:szCs w:val="24"/>
        </w:rPr>
        <w:t>%</w:t>
      </w:r>
      <w:r w:rsidR="00A95B3F" w:rsidRPr="00A95B3F">
        <w:rPr>
          <w:rFonts w:ascii="Times New Roman" w:hAnsi="Times New Roman"/>
          <w:sz w:val="28"/>
          <w:szCs w:val="24"/>
        </w:rPr>
        <w:t xml:space="preserve"> и 8,9%</w:t>
      </w:r>
      <w:r w:rsidRPr="00A95B3F">
        <w:rPr>
          <w:rFonts w:ascii="Times New Roman" w:hAnsi="Times New Roman"/>
          <w:sz w:val="28"/>
          <w:szCs w:val="24"/>
        </w:rPr>
        <w:t>, 18-25 лет – 4,</w:t>
      </w:r>
      <w:r w:rsidR="00A95B3F" w:rsidRPr="00A95B3F">
        <w:rPr>
          <w:rFonts w:ascii="Times New Roman" w:hAnsi="Times New Roman"/>
          <w:sz w:val="28"/>
          <w:szCs w:val="24"/>
        </w:rPr>
        <w:t>6</w:t>
      </w:r>
      <w:r w:rsidRPr="00A95B3F">
        <w:rPr>
          <w:rFonts w:ascii="Times New Roman" w:hAnsi="Times New Roman"/>
          <w:sz w:val="28"/>
          <w:szCs w:val="24"/>
        </w:rPr>
        <w:t>% (рис. № 3).</w:t>
      </w:r>
      <w:proofErr w:type="gramEnd"/>
    </w:p>
    <w:p w:rsidR="00067166" w:rsidRPr="002916AD" w:rsidRDefault="00067166" w:rsidP="0006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B1516" w:rsidRDefault="00BB1516" w:rsidP="00BB1516">
      <w:pPr>
        <w:spacing w:after="0" w:line="240" w:lineRule="auto"/>
        <w:ind w:left="-709"/>
        <w:rPr>
          <w:rFonts w:ascii="Times New Roman" w:hAnsi="Times New Roman"/>
        </w:rPr>
      </w:pPr>
    </w:p>
    <w:p w:rsidR="00067166" w:rsidRDefault="00BB1516" w:rsidP="00BB1516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BB151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42942" cy="2210463"/>
            <wp:effectExtent l="19050" t="0" r="14908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047B" w:rsidRDefault="0043047B" w:rsidP="00BB1516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43047B" w:rsidRDefault="0043047B" w:rsidP="00BB1516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01237" w:rsidRDefault="00801237" w:rsidP="00BB1516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451C07" w:rsidRDefault="00451C07" w:rsidP="00BB1516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451C0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54814" cy="2170071"/>
            <wp:effectExtent l="19050" t="0" r="26836" b="1629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2A6D" w:rsidRPr="00700786" w:rsidRDefault="00D22A6D" w:rsidP="00067166">
      <w:pPr>
        <w:spacing w:after="0" w:line="240" w:lineRule="auto"/>
        <w:ind w:firstLine="566"/>
        <w:jc w:val="center"/>
        <w:rPr>
          <w:rFonts w:ascii="Times New Roman" w:hAnsi="Times New Roman"/>
        </w:rPr>
      </w:pPr>
    </w:p>
    <w:p w:rsidR="00067166" w:rsidRPr="00700786" w:rsidRDefault="00067166" w:rsidP="00067166">
      <w:pPr>
        <w:spacing w:after="0" w:line="240" w:lineRule="auto"/>
        <w:jc w:val="center"/>
        <w:rPr>
          <w:rFonts w:ascii="Times New Roman" w:hAnsi="Times New Roman"/>
        </w:rPr>
      </w:pPr>
      <w:r w:rsidRPr="00700786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3.</w:t>
      </w:r>
      <w:r w:rsidRPr="00700786">
        <w:rPr>
          <w:rFonts w:ascii="Times New Roman" w:hAnsi="Times New Roman"/>
        </w:rPr>
        <w:t xml:space="preserve"> Удельный вес пострадавших от острых отравлений химической этиологии по возрастным группам населения Костромской области 201</w:t>
      </w:r>
      <w:r w:rsidR="0043047B">
        <w:rPr>
          <w:rFonts w:ascii="Times New Roman" w:hAnsi="Times New Roman"/>
        </w:rPr>
        <w:t>8</w:t>
      </w:r>
      <w:r w:rsidRPr="00700786">
        <w:rPr>
          <w:rFonts w:ascii="Times New Roman" w:hAnsi="Times New Roman"/>
        </w:rPr>
        <w:t>-201</w:t>
      </w:r>
      <w:r w:rsidR="0043047B">
        <w:rPr>
          <w:rFonts w:ascii="Times New Roman" w:hAnsi="Times New Roman"/>
        </w:rPr>
        <w:t>9</w:t>
      </w:r>
      <w:r w:rsidRPr="00700786">
        <w:rPr>
          <w:rFonts w:ascii="Times New Roman" w:hAnsi="Times New Roman"/>
        </w:rPr>
        <w:t>гг.</w:t>
      </w:r>
    </w:p>
    <w:p w:rsidR="00067166" w:rsidRPr="002916AD" w:rsidRDefault="00067166" w:rsidP="00067166">
      <w:pPr>
        <w:spacing w:after="0" w:line="240" w:lineRule="auto"/>
        <w:ind w:firstLine="566"/>
        <w:jc w:val="center"/>
        <w:rPr>
          <w:rFonts w:ascii="Times New Roman" w:hAnsi="Times New Roman"/>
          <w:sz w:val="24"/>
        </w:rPr>
      </w:pPr>
    </w:p>
    <w:p w:rsidR="00067166" w:rsidRPr="002916AD" w:rsidRDefault="00067166" w:rsidP="0006716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16AD">
        <w:rPr>
          <w:rFonts w:ascii="Times New Roman" w:hAnsi="Times New Roman"/>
          <w:sz w:val="28"/>
          <w:szCs w:val="24"/>
          <w:lang w:eastAsia="ru-RU"/>
        </w:rPr>
        <w:lastRenderedPageBreak/>
        <w:t>Показатель ООХЭ с летальными исходами среди взрослого населения в 201</w:t>
      </w:r>
      <w:r w:rsidR="006D2FC5">
        <w:rPr>
          <w:rFonts w:ascii="Times New Roman" w:hAnsi="Times New Roman"/>
          <w:sz w:val="28"/>
          <w:szCs w:val="24"/>
          <w:lang w:eastAsia="ru-RU"/>
        </w:rPr>
        <w:t>9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 г. составил </w:t>
      </w:r>
      <w:r w:rsidR="006D2FC5">
        <w:rPr>
          <w:rFonts w:ascii="Times New Roman" w:hAnsi="Times New Roman"/>
          <w:bCs/>
          <w:sz w:val="28"/>
          <w:szCs w:val="24"/>
          <w:lang w:eastAsia="ru-RU"/>
        </w:rPr>
        <w:t>15,9</w:t>
      </w:r>
      <w:r w:rsidRPr="002916AD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2916AD">
        <w:rPr>
          <w:rFonts w:ascii="Times New Roman" w:hAnsi="Times New Roman"/>
          <w:sz w:val="28"/>
          <w:szCs w:val="24"/>
          <w:lang w:eastAsia="ru-RU"/>
        </w:rPr>
        <w:t>случая на 100 тыс. населения (201</w:t>
      </w:r>
      <w:r w:rsidR="006D2FC5">
        <w:rPr>
          <w:rFonts w:ascii="Times New Roman" w:hAnsi="Times New Roman"/>
          <w:sz w:val="28"/>
          <w:szCs w:val="24"/>
          <w:lang w:eastAsia="ru-RU"/>
        </w:rPr>
        <w:t>8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г. – </w:t>
      </w:r>
      <w:r w:rsidR="006D2FC5">
        <w:rPr>
          <w:rFonts w:ascii="Times New Roman" w:hAnsi="Times New Roman"/>
          <w:sz w:val="28"/>
          <w:szCs w:val="24"/>
          <w:lang w:eastAsia="ru-RU"/>
        </w:rPr>
        <w:t>24,5</w:t>
      </w:r>
      <w:r w:rsidRPr="002916AD">
        <w:rPr>
          <w:rFonts w:ascii="Times New Roman" w:hAnsi="Times New Roman"/>
          <w:sz w:val="28"/>
          <w:szCs w:val="24"/>
          <w:lang w:eastAsia="ru-RU"/>
        </w:rPr>
        <w:t>); среди подростков составил 1 случай (табл. №</w:t>
      </w:r>
      <w:r w:rsidR="008C468A" w:rsidRPr="002916AD">
        <w:rPr>
          <w:rFonts w:ascii="Times New Roman" w:hAnsi="Times New Roman"/>
          <w:sz w:val="28"/>
          <w:szCs w:val="24"/>
          <w:lang w:eastAsia="ru-RU"/>
        </w:rPr>
        <w:t xml:space="preserve"> 4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). Среди детей </w:t>
      </w:r>
      <w:r w:rsidR="0059568A">
        <w:rPr>
          <w:rFonts w:ascii="Times New Roman" w:hAnsi="Times New Roman"/>
          <w:sz w:val="28"/>
          <w:szCs w:val="24"/>
          <w:lang w:eastAsia="ru-RU"/>
        </w:rPr>
        <w:t xml:space="preserve">из </w:t>
      </w:r>
      <w:r w:rsidR="006D2FC5">
        <w:rPr>
          <w:rFonts w:ascii="Times New Roman" w:hAnsi="Times New Roman"/>
          <w:sz w:val="28"/>
          <w:szCs w:val="24"/>
          <w:lang w:eastAsia="ru-RU"/>
        </w:rPr>
        <w:t>35</w:t>
      </w:r>
      <w:r w:rsidR="0059568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случаев острых отравлений химической этиологии </w:t>
      </w:r>
      <w:r w:rsidR="0059568A">
        <w:rPr>
          <w:rFonts w:ascii="Times New Roman" w:hAnsi="Times New Roman"/>
          <w:sz w:val="28"/>
          <w:szCs w:val="24"/>
          <w:lang w:eastAsia="ru-RU"/>
        </w:rPr>
        <w:t>летальны</w:t>
      </w:r>
      <w:r w:rsidR="006D2FC5">
        <w:rPr>
          <w:rFonts w:ascii="Times New Roman" w:hAnsi="Times New Roman"/>
          <w:sz w:val="28"/>
          <w:szCs w:val="24"/>
          <w:lang w:eastAsia="ru-RU"/>
        </w:rPr>
        <w:t>х</w:t>
      </w:r>
      <w:r w:rsidR="0059568A">
        <w:rPr>
          <w:rFonts w:ascii="Times New Roman" w:hAnsi="Times New Roman"/>
          <w:sz w:val="28"/>
          <w:szCs w:val="24"/>
          <w:lang w:eastAsia="ru-RU"/>
        </w:rPr>
        <w:t xml:space="preserve"> исходо</w:t>
      </w:r>
      <w:r w:rsidR="006D2FC5">
        <w:rPr>
          <w:rFonts w:ascii="Times New Roman" w:hAnsi="Times New Roman"/>
          <w:sz w:val="28"/>
          <w:szCs w:val="24"/>
          <w:lang w:eastAsia="ru-RU"/>
        </w:rPr>
        <w:t>в не отмечено</w:t>
      </w:r>
      <w:r w:rsidRPr="002916AD">
        <w:rPr>
          <w:rFonts w:ascii="Times New Roman" w:hAnsi="Times New Roman"/>
          <w:sz w:val="28"/>
          <w:szCs w:val="24"/>
          <w:lang w:eastAsia="ru-RU"/>
        </w:rPr>
        <w:t>.</w:t>
      </w:r>
    </w:p>
    <w:p w:rsidR="00067166" w:rsidRPr="00700786" w:rsidRDefault="00067166" w:rsidP="0006716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lang w:eastAsia="ru-RU"/>
        </w:rPr>
      </w:pPr>
    </w:p>
    <w:p w:rsidR="00067166" w:rsidRPr="002916AD" w:rsidRDefault="00067166" w:rsidP="00067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lang w:eastAsia="ru-RU"/>
        </w:rPr>
      </w:pPr>
      <w:r w:rsidRPr="002916AD">
        <w:rPr>
          <w:rFonts w:ascii="Times New Roman" w:hAnsi="Times New Roman"/>
          <w:bCs/>
          <w:sz w:val="28"/>
          <w:lang w:eastAsia="ru-RU"/>
        </w:rPr>
        <w:t xml:space="preserve">Таблица № </w:t>
      </w:r>
      <w:r w:rsidR="008C468A" w:rsidRPr="002916AD">
        <w:rPr>
          <w:rFonts w:ascii="Times New Roman" w:hAnsi="Times New Roman"/>
          <w:bCs/>
          <w:sz w:val="28"/>
          <w:lang w:eastAsia="ru-RU"/>
        </w:rPr>
        <w:t>4</w:t>
      </w:r>
    </w:p>
    <w:p w:rsidR="00067166" w:rsidRPr="002916AD" w:rsidRDefault="00067166" w:rsidP="0006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2916AD">
        <w:rPr>
          <w:rFonts w:ascii="Times New Roman" w:hAnsi="Times New Roman"/>
          <w:b/>
          <w:bCs/>
          <w:sz w:val="28"/>
          <w:lang w:eastAsia="ru-RU"/>
        </w:rPr>
        <w:t>Динамика острых отравлений химической этиологии с летальными исходами по возрастным группам в Костромской области</w:t>
      </w:r>
      <w:proofErr w:type="gramStart"/>
      <w:r w:rsidRPr="002916AD">
        <w:rPr>
          <w:rFonts w:ascii="Times New Roman" w:hAnsi="Times New Roman"/>
          <w:b/>
          <w:bCs/>
          <w:sz w:val="28"/>
          <w:lang w:eastAsia="ru-RU"/>
        </w:rPr>
        <w:t xml:space="preserve"> (%)</w:t>
      </w:r>
      <w:proofErr w:type="gramEnd"/>
    </w:p>
    <w:p w:rsidR="00067166" w:rsidRPr="00700786" w:rsidRDefault="00067166" w:rsidP="00067166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63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992"/>
        <w:gridCol w:w="851"/>
        <w:gridCol w:w="850"/>
        <w:gridCol w:w="851"/>
        <w:gridCol w:w="850"/>
        <w:gridCol w:w="709"/>
        <w:gridCol w:w="851"/>
        <w:gridCol w:w="708"/>
        <w:gridCol w:w="993"/>
        <w:gridCol w:w="923"/>
      </w:tblGrid>
      <w:tr w:rsidR="00067166" w:rsidRPr="00700786" w:rsidTr="00D72568">
        <w:trPr>
          <w:jc w:val="center"/>
        </w:trPr>
        <w:tc>
          <w:tcPr>
            <w:tcW w:w="2061" w:type="dxa"/>
            <w:vMerge w:val="restart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Возрастные группы</w:t>
            </w:r>
          </w:p>
        </w:tc>
        <w:tc>
          <w:tcPr>
            <w:tcW w:w="1843" w:type="dxa"/>
            <w:gridSpan w:val="2"/>
          </w:tcPr>
          <w:p w:rsidR="00067166" w:rsidRPr="00700786" w:rsidRDefault="00067166" w:rsidP="006D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6D2FC5">
              <w:rPr>
                <w:rFonts w:ascii="Times New Roman" w:hAnsi="Times New Roman"/>
                <w:bCs/>
                <w:lang w:eastAsia="ru-RU"/>
              </w:rPr>
              <w:t>5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</w:tcPr>
          <w:p w:rsidR="00067166" w:rsidRPr="00700786" w:rsidRDefault="00067166" w:rsidP="006D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6D2FC5">
              <w:rPr>
                <w:rFonts w:ascii="Times New Roman" w:hAnsi="Times New Roman"/>
                <w:bCs/>
                <w:lang w:eastAsia="ru-RU"/>
              </w:rPr>
              <w:t>6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gridSpan w:val="2"/>
          </w:tcPr>
          <w:p w:rsidR="00067166" w:rsidRPr="00700786" w:rsidRDefault="00067166" w:rsidP="006D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6D2FC5">
              <w:rPr>
                <w:rFonts w:ascii="Times New Roman" w:hAnsi="Times New Roman"/>
                <w:bCs/>
                <w:lang w:eastAsia="ru-RU"/>
              </w:rPr>
              <w:t>7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gridSpan w:val="2"/>
          </w:tcPr>
          <w:p w:rsidR="00067166" w:rsidRPr="00700786" w:rsidRDefault="00067166" w:rsidP="006D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6D2FC5">
              <w:rPr>
                <w:rFonts w:ascii="Times New Roman" w:hAnsi="Times New Roman"/>
                <w:bCs/>
                <w:lang w:eastAsia="ru-RU"/>
              </w:rPr>
              <w:t>8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916" w:type="dxa"/>
            <w:gridSpan w:val="2"/>
          </w:tcPr>
          <w:p w:rsidR="00067166" w:rsidRPr="00700786" w:rsidRDefault="00067166" w:rsidP="006D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201</w:t>
            </w:r>
            <w:r w:rsidR="006D2FC5">
              <w:rPr>
                <w:rFonts w:ascii="Times New Roman" w:hAnsi="Times New Roman"/>
                <w:bCs/>
                <w:lang w:eastAsia="ru-RU"/>
              </w:rPr>
              <w:t>9</w:t>
            </w:r>
            <w:r w:rsidRPr="0070078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067166" w:rsidRPr="00700786" w:rsidTr="00D72568">
        <w:trPr>
          <w:jc w:val="center"/>
        </w:trPr>
        <w:tc>
          <w:tcPr>
            <w:tcW w:w="2061" w:type="dxa"/>
            <w:vMerge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ООХЭ</w:t>
            </w:r>
          </w:p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с летальным исходом</w:t>
            </w:r>
          </w:p>
        </w:tc>
        <w:tc>
          <w:tcPr>
            <w:tcW w:w="851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850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 xml:space="preserve">ООХЭ </w:t>
            </w:r>
          </w:p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с летальным исходом</w:t>
            </w:r>
          </w:p>
        </w:tc>
        <w:tc>
          <w:tcPr>
            <w:tcW w:w="851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850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 xml:space="preserve">ООХЭ </w:t>
            </w:r>
          </w:p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с летальным исходом</w:t>
            </w:r>
          </w:p>
        </w:tc>
        <w:tc>
          <w:tcPr>
            <w:tcW w:w="709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851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 xml:space="preserve">ООХЭ </w:t>
            </w:r>
          </w:p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с летальным исходом</w:t>
            </w:r>
          </w:p>
        </w:tc>
        <w:tc>
          <w:tcPr>
            <w:tcW w:w="708" w:type="dxa"/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 xml:space="preserve">ООХЭ </w:t>
            </w:r>
          </w:p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с летальным исходом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67166" w:rsidRPr="00700786" w:rsidRDefault="00067166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удельный вес, %</w:t>
            </w:r>
          </w:p>
        </w:tc>
      </w:tr>
      <w:tr w:rsidR="006D2FC5" w:rsidRPr="00700786" w:rsidTr="00D72568">
        <w:trPr>
          <w:jc w:val="center"/>
        </w:trPr>
        <w:tc>
          <w:tcPr>
            <w:tcW w:w="2061" w:type="dxa"/>
          </w:tcPr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Взрослое население</w:t>
            </w:r>
          </w:p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(18 лет и старше)</w:t>
            </w:r>
          </w:p>
        </w:tc>
        <w:tc>
          <w:tcPr>
            <w:tcW w:w="992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238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99,6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169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99,4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208</w:t>
            </w:r>
          </w:p>
        </w:tc>
        <w:tc>
          <w:tcPr>
            <w:tcW w:w="709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54,3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127</w:t>
            </w:r>
          </w:p>
        </w:tc>
        <w:tc>
          <w:tcPr>
            <w:tcW w:w="708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FC5" w:rsidRPr="00700786" w:rsidRDefault="00517148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D2FC5" w:rsidRPr="00700786" w:rsidRDefault="00517148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15,9</w:t>
            </w:r>
          </w:p>
        </w:tc>
      </w:tr>
      <w:tr w:rsidR="006D2FC5" w:rsidRPr="00700786" w:rsidTr="00D72568">
        <w:trPr>
          <w:jc w:val="center"/>
        </w:trPr>
        <w:tc>
          <w:tcPr>
            <w:tcW w:w="2061" w:type="dxa"/>
          </w:tcPr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ind w:left="-106" w:right="-156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 xml:space="preserve">Подростковое население (15-17 лет </w:t>
            </w:r>
            <w:proofErr w:type="spellStart"/>
            <w:r w:rsidRPr="00700786">
              <w:rPr>
                <w:rFonts w:ascii="Times New Roman" w:hAnsi="Times New Roman"/>
                <w:bCs/>
                <w:lang w:eastAsia="ru-RU"/>
              </w:rPr>
              <w:t>вкл</w:t>
            </w:r>
            <w:proofErr w:type="spellEnd"/>
            <w:r w:rsidRPr="00700786">
              <w:rPr>
                <w:rFonts w:ascii="Times New Roman" w:hAnsi="Times New Roman"/>
                <w:bCs/>
                <w:lang w:eastAsia="ru-RU"/>
              </w:rPr>
              <w:t>.)</w:t>
            </w:r>
          </w:p>
        </w:tc>
        <w:tc>
          <w:tcPr>
            <w:tcW w:w="992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0,6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0,26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D2FC5" w:rsidRPr="00700786" w:rsidRDefault="006D2FC5" w:rsidP="005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0,3</w:t>
            </w:r>
            <w:r w:rsidR="00517148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D2FC5" w:rsidRPr="00700786" w:rsidTr="00D72568">
        <w:trPr>
          <w:jc w:val="center"/>
        </w:trPr>
        <w:tc>
          <w:tcPr>
            <w:tcW w:w="2061" w:type="dxa"/>
          </w:tcPr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Детское население</w:t>
            </w:r>
          </w:p>
          <w:p w:rsidR="006D2FC5" w:rsidRPr="00700786" w:rsidRDefault="006D2FC5" w:rsidP="00D72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(0-14 лет включительно)</w:t>
            </w:r>
          </w:p>
        </w:tc>
        <w:tc>
          <w:tcPr>
            <w:tcW w:w="992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0,42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7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:rsidR="006D2FC5" w:rsidRPr="00700786" w:rsidRDefault="006D2FC5" w:rsidP="0033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FC5" w:rsidRPr="00700786" w:rsidRDefault="00517148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D2FC5" w:rsidRPr="00700786" w:rsidRDefault="00517148" w:rsidP="00D7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</w:tbl>
    <w:p w:rsidR="00067166" w:rsidRPr="00700786" w:rsidRDefault="00067166" w:rsidP="0006716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lang w:eastAsia="ru-RU"/>
        </w:rPr>
      </w:pPr>
    </w:p>
    <w:p w:rsidR="00067166" w:rsidRPr="002916AD" w:rsidRDefault="00067166" w:rsidP="0006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916AD">
        <w:rPr>
          <w:rFonts w:ascii="Times New Roman" w:hAnsi="Times New Roman"/>
          <w:sz w:val="28"/>
          <w:szCs w:val="24"/>
          <w:lang w:eastAsia="ru-RU"/>
        </w:rPr>
        <w:t>В 201</w:t>
      </w:r>
      <w:r w:rsidR="00517148">
        <w:rPr>
          <w:rFonts w:ascii="Times New Roman" w:hAnsi="Times New Roman"/>
          <w:sz w:val="28"/>
          <w:szCs w:val="24"/>
          <w:lang w:eastAsia="ru-RU"/>
        </w:rPr>
        <w:t>9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 г. в сравнении с предыдущим годом отмечено снижение показателей ООХЭ с летальными исходами среди взрослого населения в </w:t>
      </w:r>
      <w:r w:rsidR="00517148">
        <w:rPr>
          <w:rFonts w:ascii="Times New Roman" w:hAnsi="Times New Roman"/>
          <w:sz w:val="28"/>
          <w:szCs w:val="24"/>
          <w:lang w:eastAsia="ru-RU"/>
        </w:rPr>
        <w:t>1,5</w:t>
      </w:r>
      <w:r w:rsidRPr="002916AD">
        <w:rPr>
          <w:rFonts w:ascii="Times New Roman" w:hAnsi="Times New Roman"/>
          <w:sz w:val="28"/>
          <w:szCs w:val="24"/>
          <w:lang w:eastAsia="ru-RU"/>
        </w:rPr>
        <w:t xml:space="preserve"> раза.</w:t>
      </w:r>
    </w:p>
    <w:p w:rsidR="00D72568" w:rsidRPr="002916AD" w:rsidRDefault="00D72568" w:rsidP="00D7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Среди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обстоятельств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,</w:t>
      </w: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приведших к ООХЭ среди населения Костромской области в 201</w:t>
      </w:r>
      <w:r w:rsidR="00F15FBE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году, установлено следующее: </w:t>
      </w:r>
    </w:p>
    <w:p w:rsidR="00D72568" w:rsidRPr="002916AD" w:rsidRDefault="00D72568" w:rsidP="00D7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1. случайное (с целью опьянения, ошибочный прием, самолечение, производственное, техногенная авария, контакт с ядовитыми животными и растениями, медицинская ошибка, непереносимость или побочное действие, пищевое немикробной этиологии) – 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59,8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- </w:t>
      </w:r>
      <w:r w:rsidR="00F004EC">
        <w:rPr>
          <w:rFonts w:ascii="Times New Roman" w:eastAsia="TimesNewRomanPSMT" w:hAnsi="Times New Roman" w:cs="Times New Roman"/>
          <w:sz w:val="28"/>
          <w:szCs w:val="24"/>
        </w:rPr>
        <w:t>1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31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й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D72568" w:rsidRPr="002916AD" w:rsidRDefault="00D72568" w:rsidP="00D7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2. преднамеренное (суицидальное, криминальное, наркотическое, с целью одурманивания, с целью прерывания беременности) – 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28,3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- </w:t>
      </w:r>
      <w:r w:rsidR="00F004EC">
        <w:rPr>
          <w:rFonts w:ascii="Times New Roman" w:eastAsia="TimesNewRomanPSMT" w:hAnsi="Times New Roman" w:cs="Times New Roman"/>
          <w:sz w:val="28"/>
          <w:szCs w:val="24"/>
        </w:rPr>
        <w:t>6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2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я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067166" w:rsidRPr="002916AD" w:rsidRDefault="00D72568" w:rsidP="00D7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3. </w:t>
      </w:r>
      <w:proofErr w:type="gramStart"/>
      <w:r w:rsidRPr="002916AD">
        <w:rPr>
          <w:rFonts w:ascii="Times New Roman" w:eastAsia="TimesNewRomanPSMT" w:hAnsi="Times New Roman" w:cs="Times New Roman"/>
          <w:sz w:val="28"/>
          <w:szCs w:val="24"/>
        </w:rPr>
        <w:t>неопределенное</w:t>
      </w:r>
      <w:proofErr w:type="gram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(другое, неизвестно) – 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11,9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- 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26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517148"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(рис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№</w:t>
      </w:r>
      <w:r w:rsidR="008C468A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 4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).</w:t>
      </w:r>
    </w:p>
    <w:p w:rsidR="00C77D38" w:rsidRPr="002916AD" w:rsidRDefault="00C77D38" w:rsidP="00D7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D72568" w:rsidRDefault="00517148" w:rsidP="00F004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17148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2028" cy="2456953"/>
            <wp:effectExtent l="19050" t="0" r="25372" b="497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D38" w:rsidRDefault="00C77D38" w:rsidP="00C77D3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77D38" w:rsidRPr="002916AD" w:rsidRDefault="00C77D38" w:rsidP="00C77D3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0"/>
        </w:rPr>
      </w:pPr>
      <w:r w:rsidRPr="002916AD">
        <w:rPr>
          <w:rFonts w:ascii="Times New Roman" w:eastAsia="TimesNewRomanPSMT" w:hAnsi="Times New Roman" w:cs="Times New Roman"/>
          <w:b/>
          <w:sz w:val="24"/>
          <w:szCs w:val="24"/>
        </w:rPr>
        <w:t>Рис.</w:t>
      </w:r>
      <w:r w:rsidR="008C468A" w:rsidRPr="002916AD">
        <w:rPr>
          <w:rFonts w:ascii="Times New Roman" w:eastAsia="TimesNewRomanPSMT" w:hAnsi="Times New Roman" w:cs="Times New Roman"/>
          <w:b/>
          <w:sz w:val="24"/>
          <w:szCs w:val="24"/>
        </w:rPr>
        <w:t>4</w:t>
      </w:r>
      <w:r w:rsidRPr="002916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4"/>
          <w:szCs w:val="20"/>
        </w:rPr>
        <w:t>Структура острых отравлений химической этиологии по обстоятельствам среди населения Костромской области за 201</w:t>
      </w:r>
      <w:r w:rsidR="00517148">
        <w:rPr>
          <w:rFonts w:ascii="Times New Roman" w:eastAsia="TimesNewRomanPSMT" w:hAnsi="Times New Roman" w:cs="Times New Roman"/>
          <w:sz w:val="24"/>
          <w:szCs w:val="20"/>
        </w:rPr>
        <w:t>9</w:t>
      </w:r>
      <w:r w:rsidRPr="002916AD">
        <w:rPr>
          <w:rFonts w:ascii="Times New Roman" w:eastAsia="TimesNewRomanPSMT" w:hAnsi="Times New Roman" w:cs="Times New Roman"/>
          <w:sz w:val="24"/>
          <w:szCs w:val="20"/>
        </w:rPr>
        <w:t xml:space="preserve"> год</w:t>
      </w:r>
    </w:p>
    <w:p w:rsidR="00C77D38" w:rsidRDefault="00C77D38" w:rsidP="00C77D3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C77D38" w:rsidRDefault="00C77D38" w:rsidP="00CE47B1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Категория случайных отравлений химической этиологии занимает</w:t>
      </w:r>
      <w:r w:rsidR="007206AB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ведущее место в общей структуре химических отравлений как в 201</w:t>
      </w:r>
      <w:r w:rsidR="007F1582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году, так и на протяжении всего </w:t>
      </w:r>
      <w:proofErr w:type="spellStart"/>
      <w:r w:rsidRPr="002916AD">
        <w:rPr>
          <w:rFonts w:ascii="Times New Roman" w:eastAsia="TimesNewRomanPSMT" w:hAnsi="Times New Roman" w:cs="Times New Roman"/>
          <w:sz w:val="28"/>
          <w:szCs w:val="24"/>
        </w:rPr>
        <w:t>мониторируемо</w:t>
      </w:r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>го</w:t>
      </w:r>
      <w:proofErr w:type="spellEnd"/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периода (рис. № 5)</w:t>
      </w:r>
    </w:p>
    <w:p w:rsidR="00CE47B1" w:rsidRPr="002916AD" w:rsidRDefault="00CE47B1" w:rsidP="00C77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7206AB" w:rsidRDefault="00FF1B4A" w:rsidP="00FF1B4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F1B4A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8603" cy="3196424"/>
            <wp:effectExtent l="19050" t="0" r="22197" b="3976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06AB" w:rsidRDefault="007206AB" w:rsidP="007206AB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206AB" w:rsidRDefault="007206AB" w:rsidP="007206A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7206AB" w:rsidRPr="002916AD" w:rsidRDefault="007206AB" w:rsidP="007206A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0"/>
        </w:rPr>
      </w:pPr>
      <w:r w:rsidRPr="002916AD">
        <w:rPr>
          <w:rFonts w:ascii="Times New Roman" w:eastAsia="TimesNewRomanPSMT" w:hAnsi="Times New Roman" w:cs="Times New Roman"/>
          <w:b/>
          <w:sz w:val="24"/>
          <w:szCs w:val="20"/>
        </w:rPr>
        <w:t xml:space="preserve">Рис. </w:t>
      </w:r>
      <w:r w:rsidR="008C468A" w:rsidRPr="002916AD">
        <w:rPr>
          <w:rFonts w:ascii="Times New Roman" w:eastAsia="TimesNewRomanPSMT" w:hAnsi="Times New Roman" w:cs="Times New Roman"/>
          <w:b/>
          <w:sz w:val="24"/>
          <w:szCs w:val="20"/>
        </w:rPr>
        <w:t>5</w:t>
      </w:r>
      <w:r w:rsidR="008C468A" w:rsidRPr="002916AD">
        <w:rPr>
          <w:rFonts w:ascii="Times New Roman" w:eastAsia="TimesNewRomanPSMT" w:hAnsi="Times New Roman" w:cs="Times New Roman"/>
          <w:szCs w:val="20"/>
        </w:rPr>
        <w:t xml:space="preserve"> </w:t>
      </w:r>
      <w:r w:rsidRPr="002916AD">
        <w:rPr>
          <w:rFonts w:ascii="Times New Roman" w:eastAsia="TimesNewRomanPSMT" w:hAnsi="Times New Roman" w:cs="Times New Roman"/>
          <w:szCs w:val="20"/>
        </w:rPr>
        <w:t xml:space="preserve"> </w:t>
      </w:r>
      <w:r w:rsidRPr="002916AD">
        <w:rPr>
          <w:rFonts w:ascii="Times New Roman" w:eastAsia="TimesNewRomanPSMT" w:hAnsi="Times New Roman" w:cs="Times New Roman"/>
          <w:sz w:val="24"/>
          <w:szCs w:val="20"/>
        </w:rPr>
        <w:t>Динамика острых отравлений химической этиологии по обстоятельствам среди населения Костромской области за 201</w:t>
      </w:r>
      <w:r w:rsidR="00FF1B4A">
        <w:rPr>
          <w:rFonts w:ascii="Times New Roman" w:eastAsia="TimesNewRomanPSMT" w:hAnsi="Times New Roman" w:cs="Times New Roman"/>
          <w:sz w:val="24"/>
          <w:szCs w:val="20"/>
        </w:rPr>
        <w:t>5</w:t>
      </w:r>
      <w:r w:rsidR="00CE47B1">
        <w:rPr>
          <w:rFonts w:ascii="Times New Roman" w:eastAsia="TimesNewRomanPSMT" w:hAnsi="Times New Roman" w:cs="Times New Roman"/>
          <w:sz w:val="24"/>
          <w:szCs w:val="20"/>
        </w:rPr>
        <w:t>-201</w:t>
      </w:r>
      <w:r w:rsidR="00FF1B4A">
        <w:rPr>
          <w:rFonts w:ascii="Times New Roman" w:eastAsia="TimesNewRomanPSMT" w:hAnsi="Times New Roman" w:cs="Times New Roman"/>
          <w:sz w:val="24"/>
          <w:szCs w:val="20"/>
        </w:rPr>
        <w:t>9</w:t>
      </w:r>
      <w:r w:rsidR="00CE47B1">
        <w:rPr>
          <w:rFonts w:ascii="Times New Roman" w:eastAsia="TimesNewRomanPSMT" w:hAnsi="Times New Roman" w:cs="Times New Roman"/>
          <w:sz w:val="24"/>
          <w:szCs w:val="20"/>
        </w:rPr>
        <w:t>гг</w:t>
      </w:r>
      <w:r w:rsidR="00FE5ECC" w:rsidRPr="002916AD">
        <w:rPr>
          <w:rFonts w:ascii="Times New Roman" w:eastAsia="TimesNewRomanPSMT" w:hAnsi="Times New Roman" w:cs="Times New Roman"/>
          <w:sz w:val="24"/>
          <w:szCs w:val="20"/>
        </w:rPr>
        <w:t>.</w:t>
      </w:r>
      <w:r w:rsidR="008C468A" w:rsidRPr="002916AD">
        <w:rPr>
          <w:rFonts w:ascii="Times New Roman" w:eastAsia="TimesNewRomanPSMT" w:hAnsi="Times New Roman" w:cs="Times New Roman"/>
          <w:sz w:val="24"/>
          <w:szCs w:val="20"/>
        </w:rPr>
        <w:t xml:space="preserve">  </w:t>
      </w:r>
    </w:p>
    <w:p w:rsidR="008C468A" w:rsidRPr="002916AD" w:rsidRDefault="008C468A" w:rsidP="007206A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PSMT" w:hAnsi="Times New Roman" w:cs="Times New Roman"/>
          <w:sz w:val="24"/>
          <w:szCs w:val="20"/>
        </w:rPr>
      </w:pPr>
    </w:p>
    <w:p w:rsidR="00FE5ECC" w:rsidRPr="002916AD" w:rsidRDefault="00FE5ECC" w:rsidP="00FE5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По характеру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острых отравлений химической этиологии в Костромской области превалируют </w:t>
      </w:r>
      <w:r w:rsidRPr="002916AD">
        <w:rPr>
          <w:rFonts w:ascii="Times New Roman" w:eastAsia="TimesNewRomanPS-BoldMT" w:hAnsi="Times New Roman" w:cs="Times New Roman"/>
          <w:sz w:val="28"/>
          <w:szCs w:val="24"/>
        </w:rPr>
        <w:t xml:space="preserve">-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индивидуальные</w:t>
      </w:r>
      <w:r w:rsidRPr="002916AD">
        <w:rPr>
          <w:rFonts w:ascii="Times New Roman" w:eastAsia="TimesNewRomanPS-BoldMT" w:hAnsi="Times New Roman" w:cs="Times New Roman"/>
          <w:sz w:val="28"/>
          <w:szCs w:val="24"/>
        </w:rPr>
        <w:t xml:space="preserve">,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что подтверждается картиной ежегодного анализа и анализа за период </w:t>
      </w:r>
      <w:r w:rsidRPr="002916AD">
        <w:rPr>
          <w:rFonts w:ascii="Times New Roman" w:eastAsia="TimesNewRomanPS-BoldMT" w:hAnsi="Times New Roman" w:cs="Times New Roman"/>
          <w:sz w:val="28"/>
          <w:szCs w:val="24"/>
        </w:rPr>
        <w:t>201</w:t>
      </w:r>
      <w:r w:rsidR="00FF1B4A">
        <w:rPr>
          <w:rFonts w:ascii="Times New Roman" w:eastAsia="TimesNewRomanPS-BoldMT" w:hAnsi="Times New Roman" w:cs="Times New Roman"/>
          <w:sz w:val="28"/>
          <w:szCs w:val="24"/>
        </w:rPr>
        <w:t>5</w:t>
      </w:r>
      <w:r w:rsidRPr="002916AD">
        <w:rPr>
          <w:rFonts w:ascii="Times New Roman" w:eastAsia="TimesNewRomanPS-BoldMT" w:hAnsi="Times New Roman" w:cs="Times New Roman"/>
          <w:sz w:val="28"/>
          <w:szCs w:val="24"/>
        </w:rPr>
        <w:t>-201</w:t>
      </w:r>
      <w:r w:rsidR="00FF1B4A">
        <w:rPr>
          <w:rFonts w:ascii="Times New Roman" w:eastAsia="TimesNewRomanPS-Bold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-Bold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годы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(табл. </w:t>
      </w:r>
      <w:r w:rsidR="008C468A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5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)</w:t>
      </w:r>
    </w:p>
    <w:p w:rsidR="00DE2992" w:rsidRPr="002916AD" w:rsidRDefault="008C468A" w:rsidP="008C46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-BoldMT" w:hAnsi="Times New Roman" w:cs="Times New Roman"/>
          <w:bCs/>
          <w:sz w:val="28"/>
          <w:szCs w:val="24"/>
        </w:rPr>
      </w:pP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Таблица № 5</w:t>
      </w:r>
    </w:p>
    <w:p w:rsidR="00FE5ECC" w:rsidRPr="002916AD" w:rsidRDefault="00FE5ECC" w:rsidP="00FE5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lastRenderedPageBreak/>
        <w:t xml:space="preserve">Структура </w:t>
      </w: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острых отравлений химической этиологии населения Костромской области по характеру отравлений в 201</w:t>
      </w:r>
      <w:r w:rsidR="00FF1B4A">
        <w:rPr>
          <w:rFonts w:ascii="Times New Roman" w:eastAsia="TimesNewRomanPSMT" w:hAnsi="Times New Roman" w:cs="Times New Roman"/>
          <w:b/>
          <w:sz w:val="28"/>
          <w:szCs w:val="24"/>
        </w:rPr>
        <w:t>5</w:t>
      </w: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-201</w:t>
      </w:r>
      <w:r w:rsidR="00FF1B4A">
        <w:rPr>
          <w:rFonts w:ascii="Times New Roman" w:eastAsia="TimesNewRomanPSMT" w:hAnsi="Times New Roman" w:cs="Times New Roman"/>
          <w:b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гг.</w:t>
      </w:r>
    </w:p>
    <w:p w:rsidR="00FE5ECC" w:rsidRPr="00FE5ECC" w:rsidRDefault="00FE5ECC" w:rsidP="00FE5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1964"/>
        <w:gridCol w:w="824"/>
        <w:gridCol w:w="802"/>
        <w:gridCol w:w="890"/>
        <w:gridCol w:w="825"/>
        <w:gridCol w:w="824"/>
        <w:gridCol w:w="825"/>
        <w:gridCol w:w="802"/>
        <w:gridCol w:w="825"/>
        <w:gridCol w:w="824"/>
        <w:gridCol w:w="802"/>
      </w:tblGrid>
      <w:tr w:rsidR="00FE5ECC" w:rsidTr="00DE2992">
        <w:tc>
          <w:tcPr>
            <w:tcW w:w="1964" w:type="dxa"/>
            <w:vMerge w:val="restart"/>
          </w:tcPr>
          <w:p w:rsidR="00FE5ECC" w:rsidRDefault="00FE5ECC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 характеру отравления</w:t>
            </w:r>
          </w:p>
        </w:tc>
        <w:tc>
          <w:tcPr>
            <w:tcW w:w="4165" w:type="dxa"/>
            <w:gridSpan w:val="5"/>
          </w:tcPr>
          <w:p w:rsidR="00FE5ECC" w:rsidRDefault="00FE5ECC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8" w:type="dxa"/>
            <w:gridSpan w:val="5"/>
          </w:tcPr>
          <w:p w:rsidR="00FE5ECC" w:rsidRDefault="00FE5ECC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E47B1" w:rsidTr="00DE2992">
        <w:tc>
          <w:tcPr>
            <w:tcW w:w="1964" w:type="dxa"/>
            <w:vMerge/>
          </w:tcPr>
          <w:p w:rsidR="00CE47B1" w:rsidRDefault="00CE47B1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5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02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6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90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7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25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8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24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9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25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5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02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6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25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7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24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8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  <w:tc>
          <w:tcPr>
            <w:tcW w:w="802" w:type="dxa"/>
          </w:tcPr>
          <w:p w:rsidR="00CE47B1" w:rsidRPr="00FE5ECC" w:rsidRDefault="00CE47B1" w:rsidP="00FF1B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201</w:t>
            </w:r>
            <w:r w:rsidR="00FF1B4A">
              <w:rPr>
                <w:rFonts w:ascii="Times New Roman" w:eastAsia="TimesNewRomanPSMT" w:hAnsi="Times New Roman" w:cs="Times New Roman"/>
              </w:rPr>
              <w:t>9</w:t>
            </w:r>
            <w:r>
              <w:rPr>
                <w:rFonts w:ascii="Times New Roman" w:eastAsia="TimesNewRomanPSMT" w:hAnsi="Times New Roman" w:cs="Times New Roman"/>
              </w:rPr>
              <w:t>г.</w:t>
            </w:r>
          </w:p>
        </w:tc>
      </w:tr>
      <w:tr w:rsidR="00FF1B4A" w:rsidTr="00DE2992">
        <w:tc>
          <w:tcPr>
            <w:tcW w:w="1964" w:type="dxa"/>
          </w:tcPr>
          <w:p w:rsidR="00FF1B4A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367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333</w:t>
            </w:r>
          </w:p>
        </w:tc>
        <w:tc>
          <w:tcPr>
            <w:tcW w:w="890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370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264</w:t>
            </w:r>
          </w:p>
        </w:tc>
        <w:tc>
          <w:tcPr>
            <w:tcW w:w="824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209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93,4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97,4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96,6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94,1</w:t>
            </w:r>
          </w:p>
        </w:tc>
        <w:tc>
          <w:tcPr>
            <w:tcW w:w="802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95,4</w:t>
            </w:r>
          </w:p>
        </w:tc>
      </w:tr>
      <w:tr w:rsidR="00FF1B4A" w:rsidTr="00DE2992">
        <w:tc>
          <w:tcPr>
            <w:tcW w:w="1964" w:type="dxa"/>
          </w:tcPr>
          <w:p w:rsidR="00FF1B4A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Семейное 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890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824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0,5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0,9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1,8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4,3</w:t>
            </w:r>
          </w:p>
        </w:tc>
        <w:tc>
          <w:tcPr>
            <w:tcW w:w="802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3,7</w:t>
            </w:r>
          </w:p>
        </w:tc>
      </w:tr>
      <w:tr w:rsidR="00FF1B4A" w:rsidTr="00DE2992">
        <w:tc>
          <w:tcPr>
            <w:tcW w:w="1964" w:type="dxa"/>
          </w:tcPr>
          <w:p w:rsidR="00FF1B4A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Групповое 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24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890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6,1</w:t>
            </w:r>
          </w:p>
        </w:tc>
        <w:tc>
          <w:tcPr>
            <w:tcW w:w="802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1,8</w:t>
            </w:r>
          </w:p>
        </w:tc>
        <w:tc>
          <w:tcPr>
            <w:tcW w:w="825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1,6</w:t>
            </w:r>
          </w:p>
        </w:tc>
        <w:tc>
          <w:tcPr>
            <w:tcW w:w="824" w:type="dxa"/>
          </w:tcPr>
          <w:p w:rsidR="00FF1B4A" w:rsidRPr="00FE5ECC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1,8</w:t>
            </w:r>
          </w:p>
        </w:tc>
        <w:tc>
          <w:tcPr>
            <w:tcW w:w="802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0,9</w:t>
            </w:r>
          </w:p>
        </w:tc>
      </w:tr>
      <w:tr w:rsidR="00FF1B4A" w:rsidTr="00DE2992">
        <w:tc>
          <w:tcPr>
            <w:tcW w:w="1964" w:type="dxa"/>
          </w:tcPr>
          <w:p w:rsidR="00FF1B4A" w:rsidRPr="00DE2992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299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24" w:type="dxa"/>
          </w:tcPr>
          <w:p w:rsidR="00FF1B4A" w:rsidRPr="00DE2992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E2992">
              <w:rPr>
                <w:rFonts w:ascii="Times New Roman" w:eastAsia="TimesNewRomanPSMT" w:hAnsi="Times New Roman" w:cs="Times New Roman"/>
                <w:b/>
              </w:rPr>
              <w:t>393</w:t>
            </w:r>
          </w:p>
        </w:tc>
        <w:tc>
          <w:tcPr>
            <w:tcW w:w="802" w:type="dxa"/>
          </w:tcPr>
          <w:p w:rsidR="00FF1B4A" w:rsidRPr="00DE2992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E2992">
              <w:rPr>
                <w:rFonts w:ascii="Times New Roman" w:eastAsia="TimesNewRomanPSMT" w:hAnsi="Times New Roman" w:cs="Times New Roman"/>
                <w:b/>
              </w:rPr>
              <w:t>342</w:t>
            </w:r>
          </w:p>
        </w:tc>
        <w:tc>
          <w:tcPr>
            <w:tcW w:w="890" w:type="dxa"/>
          </w:tcPr>
          <w:p w:rsidR="00FF1B4A" w:rsidRPr="00DE2992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383</w:t>
            </w:r>
          </w:p>
        </w:tc>
        <w:tc>
          <w:tcPr>
            <w:tcW w:w="825" w:type="dxa"/>
          </w:tcPr>
          <w:p w:rsidR="00FF1B4A" w:rsidRPr="00DE2992" w:rsidRDefault="00FF1B4A" w:rsidP="00334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281</w:t>
            </w:r>
          </w:p>
        </w:tc>
        <w:tc>
          <w:tcPr>
            <w:tcW w:w="824" w:type="dxa"/>
          </w:tcPr>
          <w:p w:rsidR="00FF1B4A" w:rsidRPr="00DE2992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219</w:t>
            </w:r>
          </w:p>
        </w:tc>
        <w:tc>
          <w:tcPr>
            <w:tcW w:w="825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2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5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24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802" w:type="dxa"/>
          </w:tcPr>
          <w:p w:rsidR="00FF1B4A" w:rsidRPr="00FE5ECC" w:rsidRDefault="00FF1B4A" w:rsidP="00FE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DE2992" w:rsidRDefault="00DE2992" w:rsidP="00FE5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5ECC" w:rsidRPr="002916AD" w:rsidRDefault="00DE2992" w:rsidP="00DE2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916AD">
        <w:rPr>
          <w:rFonts w:ascii="Times New Roman" w:hAnsi="Times New Roman"/>
          <w:sz w:val="28"/>
          <w:szCs w:val="24"/>
        </w:rPr>
        <w:t>Анализ социальной принадлежности лиц пострадавших от острых отравлений свидетельствует, что наибольшее число отравлений зарегистрировано среди наиболее социально незащищенной части населения – безработных, удельный вес которых в 201</w:t>
      </w:r>
      <w:r w:rsidR="00B3296E">
        <w:rPr>
          <w:rFonts w:ascii="Times New Roman" w:hAnsi="Times New Roman"/>
          <w:sz w:val="28"/>
          <w:szCs w:val="24"/>
        </w:rPr>
        <w:t>9</w:t>
      </w:r>
      <w:r w:rsidRPr="002916AD">
        <w:rPr>
          <w:rFonts w:ascii="Times New Roman" w:hAnsi="Times New Roman"/>
          <w:sz w:val="28"/>
          <w:szCs w:val="24"/>
        </w:rPr>
        <w:t xml:space="preserve"> году составил </w:t>
      </w:r>
      <w:r w:rsidR="00CE47B1">
        <w:rPr>
          <w:rFonts w:ascii="Times New Roman" w:hAnsi="Times New Roman"/>
          <w:sz w:val="28"/>
          <w:szCs w:val="24"/>
        </w:rPr>
        <w:t>39,5</w:t>
      </w:r>
      <w:r w:rsidRPr="002916AD">
        <w:rPr>
          <w:rFonts w:ascii="Times New Roman" w:hAnsi="Times New Roman"/>
          <w:sz w:val="28"/>
          <w:szCs w:val="24"/>
        </w:rPr>
        <w:t>% (в 201</w:t>
      </w:r>
      <w:r w:rsidR="00B3296E">
        <w:rPr>
          <w:rFonts w:ascii="Times New Roman" w:hAnsi="Times New Roman"/>
          <w:sz w:val="28"/>
          <w:szCs w:val="24"/>
        </w:rPr>
        <w:t>8</w:t>
      </w:r>
      <w:r w:rsidRPr="002916AD">
        <w:rPr>
          <w:rFonts w:ascii="Times New Roman" w:hAnsi="Times New Roman"/>
          <w:sz w:val="28"/>
          <w:szCs w:val="24"/>
        </w:rPr>
        <w:t xml:space="preserve">г. – </w:t>
      </w:r>
      <w:r w:rsidR="00B3296E">
        <w:rPr>
          <w:rFonts w:ascii="Times New Roman" w:hAnsi="Times New Roman"/>
          <w:sz w:val="28"/>
          <w:szCs w:val="24"/>
        </w:rPr>
        <w:t>39,5</w:t>
      </w:r>
      <w:r w:rsidRPr="002916AD">
        <w:rPr>
          <w:rFonts w:ascii="Times New Roman" w:hAnsi="Times New Roman"/>
          <w:sz w:val="28"/>
          <w:szCs w:val="24"/>
        </w:rPr>
        <w:t>%).</w:t>
      </w:r>
    </w:p>
    <w:p w:rsidR="00DE2992" w:rsidRPr="002916AD" w:rsidRDefault="00DE2992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В структуре отравлений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по социальному положению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отравившихся в 201</w:t>
      </w:r>
      <w:r w:rsidR="00334EA8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сложилась следующее (рис. </w:t>
      </w:r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>6</w:t>
      </w:r>
      <w:proofErr w:type="gramStart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)</w:t>
      </w:r>
      <w:proofErr w:type="gramEnd"/>
      <w:r w:rsidRPr="002916AD">
        <w:rPr>
          <w:rFonts w:ascii="Times New Roman" w:eastAsia="TimesNewRomanPSMT" w:hAnsi="Times New Roman" w:cs="Times New Roman"/>
          <w:sz w:val="28"/>
          <w:szCs w:val="24"/>
        </w:rPr>
        <w:t>:</w:t>
      </w:r>
    </w:p>
    <w:p w:rsidR="00DE2992" w:rsidRPr="002916AD" w:rsidRDefault="00DE2992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1. безработные – </w:t>
      </w:r>
      <w:r w:rsidR="00CE47B1">
        <w:rPr>
          <w:rFonts w:ascii="Times New Roman" w:eastAsia="TimesNewRomanPSMT" w:hAnsi="Times New Roman" w:cs="Times New Roman"/>
          <w:sz w:val="28"/>
          <w:szCs w:val="24"/>
        </w:rPr>
        <w:t>39,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 xml:space="preserve">5 % </w:t>
      </w:r>
    </w:p>
    <w:p w:rsidR="00DE2992" w:rsidRPr="002916AD" w:rsidRDefault="00DE2992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2. </w:t>
      </w:r>
      <w:r w:rsidR="002522F7" w:rsidRPr="002916AD">
        <w:rPr>
          <w:rFonts w:ascii="Times New Roman" w:eastAsia="TimesNewRomanPSMT" w:hAnsi="Times New Roman" w:cs="Times New Roman"/>
          <w:sz w:val="28"/>
          <w:szCs w:val="24"/>
        </w:rPr>
        <w:t>пенсио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неры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>15,5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</w:t>
      </w:r>
    </w:p>
    <w:p w:rsidR="002522F7" w:rsidRPr="002916AD" w:rsidRDefault="002522F7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3. работающее население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>16,1 %</w:t>
      </w:r>
    </w:p>
    <w:p w:rsidR="002522F7" w:rsidRPr="002916AD" w:rsidRDefault="002522F7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4. школьники (7-17 лет)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>10,0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</w:t>
      </w:r>
    </w:p>
    <w:p w:rsidR="00B3296E" w:rsidRDefault="002522F7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5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.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неорг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анизованные дети (0-14 лет)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>4,1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</w:t>
      </w:r>
    </w:p>
    <w:p w:rsidR="00DE2992" w:rsidRPr="002916AD" w:rsidRDefault="002522F7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6. 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де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ти, посещающие ДДУ (3-6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ле</w:t>
      </w:r>
      <w:r w:rsidR="00DE2992" w:rsidRPr="002916AD">
        <w:rPr>
          <w:rFonts w:ascii="Times New Roman" w:eastAsia="TimesNewRomanPSMT" w:hAnsi="Times New Roman" w:cs="Times New Roman"/>
          <w:sz w:val="28"/>
          <w:szCs w:val="24"/>
        </w:rPr>
        <w:t xml:space="preserve">т)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 xml:space="preserve">5,5 % </w:t>
      </w:r>
    </w:p>
    <w:p w:rsidR="00DE2992" w:rsidRDefault="00DE2992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7. </w:t>
      </w:r>
      <w:r w:rsidR="002522F7" w:rsidRPr="002916AD">
        <w:rPr>
          <w:rFonts w:ascii="Times New Roman" w:eastAsia="TimesNewRomanPSMT" w:hAnsi="Times New Roman" w:cs="Times New Roman"/>
          <w:sz w:val="28"/>
          <w:szCs w:val="24"/>
        </w:rPr>
        <w:t>учащи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еся (проф</w:t>
      </w:r>
      <w:proofErr w:type="gramStart"/>
      <w:r w:rsidRPr="002916AD">
        <w:rPr>
          <w:rFonts w:ascii="Times New Roman" w:eastAsia="TimesNewRomanPSMT" w:hAnsi="Times New Roman" w:cs="Times New Roman"/>
          <w:sz w:val="28"/>
          <w:szCs w:val="24"/>
        </w:rPr>
        <w:t>.у</w:t>
      </w:r>
      <w:proofErr w:type="gram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чилищ, техникумов, ВУЗов)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 xml:space="preserve">1,8% </w:t>
      </w:r>
    </w:p>
    <w:p w:rsidR="00706B07" w:rsidRPr="002916AD" w:rsidRDefault="00706B07" w:rsidP="003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8. </w:t>
      </w:r>
      <w:proofErr w:type="spellStart"/>
      <w:r w:rsidR="00B3296E">
        <w:rPr>
          <w:rFonts w:ascii="Times New Roman" w:eastAsia="TimesNewRomanPSMT" w:hAnsi="Times New Roman" w:cs="Times New Roman"/>
          <w:sz w:val="28"/>
          <w:szCs w:val="24"/>
        </w:rPr>
        <w:t>БОМЖи</w:t>
      </w:r>
      <w:proofErr w:type="spellEnd"/>
      <w:r>
        <w:rPr>
          <w:rFonts w:ascii="Times New Roman" w:eastAsia="TimesNewRomanPSMT" w:hAnsi="Times New Roman" w:cs="Times New Roman"/>
          <w:sz w:val="28"/>
          <w:szCs w:val="24"/>
        </w:rPr>
        <w:t xml:space="preserve"> – </w:t>
      </w:r>
      <w:r w:rsidR="00B3296E">
        <w:rPr>
          <w:rFonts w:ascii="Times New Roman" w:eastAsia="TimesNewRomanPSMT" w:hAnsi="Times New Roman" w:cs="Times New Roman"/>
          <w:sz w:val="28"/>
          <w:szCs w:val="24"/>
        </w:rPr>
        <w:t>0,5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% </w:t>
      </w:r>
    </w:p>
    <w:p w:rsidR="00DE6A21" w:rsidRDefault="00DE6A21" w:rsidP="00372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6A21" w:rsidRDefault="00DE6A21" w:rsidP="00DE2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6A21" w:rsidRDefault="00DF0949" w:rsidP="009F4D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F0949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465" cy="3140765"/>
            <wp:effectExtent l="19050" t="0" r="9635" b="24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4DB1" w:rsidRDefault="009F4DB1" w:rsidP="00DE6A21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22F7" w:rsidRDefault="002522F7" w:rsidP="00DE6A21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22F7" w:rsidRPr="002916AD" w:rsidRDefault="008C468A" w:rsidP="00DE6A21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0"/>
        </w:rPr>
      </w:pPr>
      <w:r w:rsidRPr="002916AD">
        <w:rPr>
          <w:rFonts w:ascii="Times New Roman" w:eastAsia="TimesNewRomanPSMT" w:hAnsi="Times New Roman" w:cs="Times New Roman"/>
          <w:b/>
          <w:sz w:val="24"/>
          <w:szCs w:val="20"/>
        </w:rPr>
        <w:t>Рис. 6</w:t>
      </w:r>
      <w:r w:rsidRPr="002916AD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="0060076B" w:rsidRPr="002916AD">
        <w:rPr>
          <w:rFonts w:ascii="Times New Roman" w:eastAsia="TimesNewRomanPSMT" w:hAnsi="Times New Roman" w:cs="Times New Roman"/>
          <w:sz w:val="24"/>
          <w:szCs w:val="20"/>
        </w:rPr>
        <w:t>Динамика в с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>труктур</w:t>
      </w:r>
      <w:r w:rsidR="0060076B" w:rsidRPr="002916AD">
        <w:rPr>
          <w:rFonts w:ascii="Times New Roman" w:eastAsia="TimesNewRomanPSMT" w:hAnsi="Times New Roman" w:cs="Times New Roman"/>
          <w:sz w:val="24"/>
          <w:szCs w:val="20"/>
        </w:rPr>
        <w:t>е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 xml:space="preserve"> острых отравлений химической </w:t>
      </w:r>
      <w:proofErr w:type="gramStart"/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>этиологии</w:t>
      </w:r>
      <w:proofErr w:type="gramEnd"/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 xml:space="preserve"> по социальному положению отравившихся среди населения в быту по Костромской области в </w:t>
      </w:r>
      <w:r w:rsidR="0043339D" w:rsidRPr="002916AD">
        <w:rPr>
          <w:rFonts w:ascii="Times New Roman" w:eastAsia="TimesNewRomanPSMT" w:hAnsi="Times New Roman" w:cs="Times New Roman"/>
          <w:sz w:val="24"/>
          <w:szCs w:val="20"/>
        </w:rPr>
        <w:t>201</w:t>
      </w:r>
      <w:r w:rsidR="001E661E">
        <w:rPr>
          <w:rFonts w:ascii="Times New Roman" w:eastAsia="TimesNewRomanPSMT" w:hAnsi="Times New Roman" w:cs="Times New Roman"/>
          <w:sz w:val="24"/>
          <w:szCs w:val="20"/>
        </w:rPr>
        <w:t>5</w:t>
      </w:r>
      <w:r w:rsidR="0043339D" w:rsidRPr="002916AD">
        <w:rPr>
          <w:rFonts w:ascii="Times New Roman" w:eastAsia="TimesNewRomanPSMT" w:hAnsi="Times New Roman" w:cs="Times New Roman"/>
          <w:sz w:val="24"/>
          <w:szCs w:val="20"/>
        </w:rPr>
        <w:t>-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>201</w:t>
      </w:r>
      <w:r w:rsidR="001E661E">
        <w:rPr>
          <w:rFonts w:ascii="Times New Roman" w:eastAsia="TimesNewRomanPSMT" w:hAnsi="Times New Roman" w:cs="Times New Roman"/>
          <w:sz w:val="24"/>
          <w:szCs w:val="20"/>
        </w:rPr>
        <w:t>9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 xml:space="preserve"> г</w:t>
      </w:r>
      <w:r w:rsidR="0043339D" w:rsidRPr="002916AD">
        <w:rPr>
          <w:rFonts w:ascii="Times New Roman" w:eastAsia="TimesNewRomanPSMT" w:hAnsi="Times New Roman" w:cs="Times New Roman"/>
          <w:sz w:val="24"/>
          <w:szCs w:val="20"/>
        </w:rPr>
        <w:t>г</w:t>
      </w:r>
      <w:r w:rsidR="002522F7" w:rsidRPr="002916AD">
        <w:rPr>
          <w:rFonts w:ascii="Times New Roman" w:eastAsia="TimesNewRomanPSMT" w:hAnsi="Times New Roman" w:cs="Times New Roman"/>
          <w:sz w:val="24"/>
          <w:szCs w:val="20"/>
        </w:rPr>
        <w:t>.</w:t>
      </w:r>
    </w:p>
    <w:p w:rsidR="002522F7" w:rsidRDefault="002522F7" w:rsidP="002522F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43339D" w:rsidRPr="002916AD" w:rsidRDefault="0043339D" w:rsidP="0043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Больше всего отравлений приходится на безработное население – </w:t>
      </w:r>
      <w:r w:rsidR="009F4DB1">
        <w:rPr>
          <w:rFonts w:ascii="Times New Roman" w:eastAsia="TimesNewRomanPSMT" w:hAnsi="Times New Roman" w:cs="Times New Roman"/>
          <w:sz w:val="28"/>
          <w:szCs w:val="24"/>
        </w:rPr>
        <w:t>39,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5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% (в 201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г. – 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39</w:t>
      </w:r>
      <w:r w:rsidR="009F4DB1">
        <w:rPr>
          <w:rFonts w:ascii="Times New Roman" w:eastAsia="TimesNewRomanPSMT" w:hAnsi="Times New Roman" w:cs="Times New Roman"/>
          <w:sz w:val="28"/>
          <w:szCs w:val="24"/>
        </w:rPr>
        <w:t>,6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%). Среди работающих доля пострадавших от отравлений составила 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16,1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% против 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11,7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% в 201</w:t>
      </w:r>
      <w:r w:rsidR="004D6BC9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(рис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№</w:t>
      </w:r>
      <w:r w:rsidR="008C468A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6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).</w:t>
      </w:r>
    </w:p>
    <w:p w:rsidR="00CF2A94" w:rsidRDefault="00CF2A94" w:rsidP="009F4D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CF2A94" w:rsidRDefault="00CF2A94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CF2A94" w:rsidRDefault="00CF2A94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>ОТРАВЛЕНИЯ НАРКОТИЧЕСКИМИ ВЕЩЕСТВАМИ</w:t>
      </w:r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4"/>
        </w:rPr>
      </w:pPr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В 201</w:t>
      </w:r>
      <w:r w:rsidR="00522E9D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в структуре ООХЭ отравления наркотическими веществами составляют </w:t>
      </w:r>
      <w:r w:rsidR="00522E9D">
        <w:rPr>
          <w:rFonts w:ascii="Times New Roman" w:eastAsia="TimesNewRomanPSMT" w:hAnsi="Times New Roman" w:cs="Times New Roman"/>
          <w:sz w:val="28"/>
          <w:szCs w:val="24"/>
        </w:rPr>
        <w:t>9,13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(</w:t>
      </w:r>
      <w:r w:rsidR="00522E9D">
        <w:rPr>
          <w:rFonts w:ascii="Times New Roman" w:eastAsia="TimesNewRomanPSMT" w:hAnsi="Times New Roman" w:cs="Times New Roman"/>
          <w:sz w:val="28"/>
          <w:szCs w:val="24"/>
        </w:rPr>
        <w:t>20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случаев) которые распределены следующим образом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(табл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№ </w:t>
      </w:r>
      <w:r w:rsidR="008C468A" w:rsidRPr="002916AD">
        <w:rPr>
          <w:rFonts w:ascii="Times New Roman" w:eastAsia="TimesNewRomanPSMT" w:hAnsi="Times New Roman" w:cs="Times New Roman"/>
          <w:bCs/>
          <w:sz w:val="28"/>
          <w:szCs w:val="24"/>
        </w:rPr>
        <w:t>6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,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рис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.7)</w:t>
      </w:r>
      <w:r w:rsidR="008C468A" w:rsidRPr="002916AD">
        <w:rPr>
          <w:rFonts w:ascii="Times New Roman" w:eastAsia="TimesNewRomanPSMT" w:hAnsi="Times New Roman" w:cs="Times New Roman"/>
          <w:bCs/>
          <w:sz w:val="28"/>
          <w:szCs w:val="24"/>
        </w:rPr>
        <w:t>.</w:t>
      </w:r>
    </w:p>
    <w:p w:rsidR="006F21AC" w:rsidRPr="002916AD" w:rsidRDefault="008C468A" w:rsidP="008C46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Таблица № 6</w:t>
      </w:r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Острые отравления наркотическими веществами </w:t>
      </w:r>
      <w:proofErr w:type="gramStart"/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>среди</w:t>
      </w:r>
      <w:proofErr w:type="gramEnd"/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>населения К</w:t>
      </w:r>
      <w:r w:rsidR="002916AD"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>остром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>ской области за 201</w:t>
      </w:r>
      <w:r w:rsidR="00522E9D">
        <w:rPr>
          <w:rFonts w:ascii="Times New Roman" w:eastAsia="TimesNewRomanPS-BoldMT" w:hAnsi="Times New Roman" w:cs="Times New Roman"/>
          <w:b/>
          <w:bCs/>
          <w:sz w:val="28"/>
          <w:szCs w:val="24"/>
        </w:rPr>
        <w:t>9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год</w:t>
      </w:r>
    </w:p>
    <w:p w:rsidR="006F21AC" w:rsidRPr="002916AD" w:rsidRDefault="006F21AC" w:rsidP="006F21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677"/>
        <w:gridCol w:w="1985"/>
        <w:gridCol w:w="2551"/>
      </w:tblGrid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т.ч. с летальным исходом</w:t>
            </w:r>
          </w:p>
        </w:tc>
      </w:tr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A4F6B" w:rsidRPr="00D238A5" w:rsidRDefault="00CA4F6B" w:rsidP="00D238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238A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Всего острых отравлений наркотическими веществами</w:t>
            </w:r>
          </w:p>
        </w:tc>
        <w:tc>
          <w:tcPr>
            <w:tcW w:w="1985" w:type="dxa"/>
          </w:tcPr>
          <w:p w:rsidR="00CA4F6B" w:rsidRDefault="00522E9D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A4F6B" w:rsidRDefault="00522E9D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</w:tr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A4F6B" w:rsidRDefault="009F4DB1" w:rsidP="00D238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Другими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опиоидами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(кодеин, морфин) (Т 40.2)</w:t>
            </w:r>
          </w:p>
        </w:tc>
        <w:tc>
          <w:tcPr>
            <w:tcW w:w="1985" w:type="dxa"/>
          </w:tcPr>
          <w:p w:rsidR="00CA4F6B" w:rsidRDefault="00522E9D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A4F6B" w:rsidRDefault="00522E9D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A4F6B" w:rsidRDefault="009F4DB1" w:rsidP="00D238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неуточненные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наркотики (Т 40.6)</w:t>
            </w:r>
          </w:p>
        </w:tc>
        <w:tc>
          <w:tcPr>
            <w:tcW w:w="1985" w:type="dxa"/>
          </w:tcPr>
          <w:p w:rsidR="00CA4F6B" w:rsidRDefault="009F4DB1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4F6B" w:rsidRDefault="00522E9D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A4F6B" w:rsidRPr="00D238A5" w:rsidRDefault="00522E9D" w:rsidP="00522E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Каннабисом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(производными)</w:t>
            </w:r>
            <w:r w:rsidR="00CA4F6B" w:rsidRPr="00D238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(Т40.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CA4F6B" w:rsidRPr="00D238A5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A4F6B" w:rsidRDefault="00522E9D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A4F6B" w:rsidRDefault="00522E9D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CA4F6B" w:rsidTr="00CA4F6B">
        <w:tc>
          <w:tcPr>
            <w:tcW w:w="534" w:type="dxa"/>
          </w:tcPr>
          <w:p w:rsidR="00CA4F6B" w:rsidRDefault="00CA4F6B" w:rsidP="006F21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A4F6B" w:rsidRDefault="00522E9D" w:rsidP="00522E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Героином</w:t>
            </w:r>
            <w:r w:rsidR="009F4D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(Т 40.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9F4DB1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A4F6B" w:rsidRDefault="009F4DB1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A4F6B" w:rsidRDefault="00CA4F6B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522E9D" w:rsidTr="00CA4F6B">
        <w:tc>
          <w:tcPr>
            <w:tcW w:w="534" w:type="dxa"/>
          </w:tcPr>
          <w:p w:rsidR="00522E9D" w:rsidRDefault="00522E9D" w:rsidP="006F21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22E9D" w:rsidRDefault="00522E9D" w:rsidP="00522E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Кокаином (Т 40.5)</w:t>
            </w:r>
          </w:p>
        </w:tc>
        <w:tc>
          <w:tcPr>
            <w:tcW w:w="1985" w:type="dxa"/>
          </w:tcPr>
          <w:p w:rsidR="00522E9D" w:rsidRDefault="00522E9D" w:rsidP="006F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E9D" w:rsidRDefault="00522E9D" w:rsidP="00CA4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</w:tbl>
    <w:p w:rsidR="006F21AC" w:rsidRDefault="006F21AC" w:rsidP="00744879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44879" w:rsidRDefault="00744879" w:rsidP="00744879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A4F6B" w:rsidRDefault="00744879" w:rsidP="004934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44879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711355"/>
            <wp:effectExtent l="19050" t="0" r="1333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A4E" w:rsidRDefault="00B53A4E" w:rsidP="00CA4F6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C468A" w:rsidRPr="002916AD" w:rsidRDefault="00B53A4E" w:rsidP="008C468A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916AD">
        <w:rPr>
          <w:rFonts w:ascii="Times New Roman" w:eastAsia="TimesNewRomanPSMT" w:hAnsi="Times New Roman" w:cs="Times New Roman"/>
          <w:b/>
          <w:sz w:val="24"/>
          <w:szCs w:val="24"/>
        </w:rPr>
        <w:t>Рис.</w:t>
      </w:r>
      <w:r w:rsidR="008C468A" w:rsidRPr="002916AD">
        <w:rPr>
          <w:rFonts w:ascii="Times New Roman" w:eastAsia="TimesNewRomanPSMT" w:hAnsi="Times New Roman" w:cs="Times New Roman"/>
          <w:b/>
          <w:sz w:val="24"/>
          <w:szCs w:val="24"/>
        </w:rPr>
        <w:t>7</w:t>
      </w:r>
      <w:r w:rsidRPr="002916AD">
        <w:rPr>
          <w:rFonts w:ascii="Times New Roman" w:eastAsia="TimesNewRomanPSMT" w:hAnsi="Times New Roman" w:cs="Times New Roman"/>
          <w:sz w:val="24"/>
          <w:szCs w:val="24"/>
        </w:rPr>
        <w:t xml:space="preserve">   Острые отравления наркотическими веществами</w:t>
      </w:r>
      <w:r w:rsidR="008C468A" w:rsidRPr="002916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4"/>
          <w:szCs w:val="24"/>
        </w:rPr>
        <w:t xml:space="preserve">среди населения </w:t>
      </w:r>
    </w:p>
    <w:p w:rsidR="00B53A4E" w:rsidRPr="002916AD" w:rsidRDefault="00B53A4E" w:rsidP="008C468A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916AD">
        <w:rPr>
          <w:rFonts w:ascii="Times New Roman" w:eastAsia="TimesNewRomanPSMT" w:hAnsi="Times New Roman" w:cs="Times New Roman"/>
          <w:sz w:val="24"/>
          <w:szCs w:val="24"/>
        </w:rPr>
        <w:t>Костромской области в 201</w:t>
      </w:r>
      <w:r w:rsidR="00744879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4"/>
          <w:szCs w:val="24"/>
        </w:rPr>
        <w:t xml:space="preserve"> году.</w:t>
      </w:r>
    </w:p>
    <w:p w:rsidR="00B53A4E" w:rsidRPr="002916AD" w:rsidRDefault="00B53A4E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F2A94" w:rsidRDefault="00CF2A94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CF2A94" w:rsidRDefault="00CF2A94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B53A4E" w:rsidRPr="002916AD" w:rsidRDefault="00B53A4E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ОТРАВЛЕНИЯ ЛЕКАРСТВЕННЫМИ ВЕЩЕСТВАМИ</w:t>
      </w:r>
    </w:p>
    <w:p w:rsidR="00B53A4E" w:rsidRPr="002916AD" w:rsidRDefault="00B53A4E" w:rsidP="00B53A4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B53A4E" w:rsidRPr="002916AD" w:rsidRDefault="00B53A4E" w:rsidP="00B53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В структуре ООХЭ отравления лекарственными препаратами составляют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30,6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%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. 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В сравнении с 201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годом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при высоком общем количестве отравлений химической этиологии (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 xml:space="preserve">281 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случа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й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)</w:t>
      </w:r>
      <w:r w:rsidR="001627E5">
        <w:rPr>
          <w:rFonts w:ascii="Times New Roman" w:eastAsia="TimesNewRomanPSMT" w:hAnsi="Times New Roman" w:cs="Times New Roman"/>
          <w:sz w:val="28"/>
          <w:szCs w:val="24"/>
        </w:rPr>
        <w:t>,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количество отравлений лекарственными препаратами 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составил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79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случая или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28,1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%, в тоже время, в 201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9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году при общем количестве отравлений химической этиологии (2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19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ев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) отравлений лекарственными средствами составило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67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 xml:space="preserve"> случаев, и это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30,6</w:t>
      </w:r>
      <w:r w:rsidR="00493439">
        <w:rPr>
          <w:rFonts w:ascii="Times New Roman" w:eastAsia="TimesNewRomanPSMT" w:hAnsi="Times New Roman" w:cs="Times New Roman"/>
          <w:sz w:val="28"/>
          <w:szCs w:val="24"/>
        </w:rPr>
        <w:t>%</w:t>
      </w:r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>.</w:t>
      </w:r>
      <w:r w:rsidR="00881D74">
        <w:rPr>
          <w:rFonts w:ascii="Times New Roman" w:eastAsia="TimesNewRomanPSMT" w:hAnsi="Times New Roman" w:cs="Times New Roman"/>
          <w:sz w:val="28"/>
          <w:szCs w:val="24"/>
        </w:rPr>
        <w:t xml:space="preserve"> Отсюда следует рост отравлений лекарственными средствами</w:t>
      </w:r>
      <w:proofErr w:type="gramEnd"/>
      <w:r w:rsidR="00881D74">
        <w:rPr>
          <w:rFonts w:ascii="Times New Roman" w:eastAsia="TimesNewRomanPSMT" w:hAnsi="Times New Roman" w:cs="Times New Roman"/>
          <w:sz w:val="28"/>
          <w:szCs w:val="24"/>
        </w:rPr>
        <w:t xml:space="preserve"> в структуре общих отравлений.</w:t>
      </w:r>
    </w:p>
    <w:p w:rsidR="00B53A4E" w:rsidRPr="002916AD" w:rsidRDefault="00B53A4E" w:rsidP="00B53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В данной группе отравлений на первом месте </w:t>
      </w:r>
      <w:r w:rsidR="001627E5">
        <w:rPr>
          <w:rFonts w:ascii="Times New Roman" w:eastAsia="TimesNewRomanPSMT" w:hAnsi="Times New Roman" w:cs="Times New Roman"/>
          <w:sz w:val="28"/>
          <w:szCs w:val="24"/>
        </w:rPr>
        <w:t xml:space="preserve">отравления </w:t>
      </w:r>
      <w:r w:rsidR="00A6403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противосудорожными, седативными, снотворными и </w:t>
      </w:r>
      <w:proofErr w:type="spellStart"/>
      <w:r w:rsidR="00A64037" w:rsidRPr="002916AD">
        <w:rPr>
          <w:rFonts w:ascii="Times New Roman" w:eastAsia="TimesNewRomanPSMT" w:hAnsi="Times New Roman" w:cs="Times New Roman"/>
          <w:sz w:val="28"/>
          <w:szCs w:val="24"/>
        </w:rPr>
        <w:t>противопаркинсоническими</w:t>
      </w:r>
      <w:proofErr w:type="spellEnd"/>
      <w:r w:rsidR="00A64037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средствами </w:t>
      </w:r>
      <w:r w:rsidR="00A64037">
        <w:rPr>
          <w:rFonts w:ascii="Times New Roman" w:eastAsia="TimesNewRomanPSMT" w:hAnsi="Times New Roman" w:cs="Times New Roman"/>
          <w:sz w:val="28"/>
          <w:szCs w:val="24"/>
        </w:rPr>
        <w:t>23 случая из 67 зарегистрированных случаев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 xml:space="preserve">. Второе место занимают </w:t>
      </w:r>
      <w:r w:rsidR="008D617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отравления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 xml:space="preserve">психотропными средствами, не классифицированными в других рубриках и отравления </w:t>
      </w:r>
      <w:proofErr w:type="spellStart"/>
      <w:r w:rsidR="008D617E">
        <w:rPr>
          <w:rFonts w:ascii="Times New Roman" w:eastAsia="TimesNewRomanPSMT" w:hAnsi="Times New Roman" w:cs="Times New Roman"/>
          <w:sz w:val="28"/>
          <w:szCs w:val="24"/>
        </w:rPr>
        <w:t>диуретиками</w:t>
      </w:r>
      <w:proofErr w:type="spellEnd"/>
      <w:r w:rsidR="008D617E">
        <w:rPr>
          <w:rFonts w:ascii="Times New Roman" w:eastAsia="TimesNewRomanPSMT" w:hAnsi="Times New Roman" w:cs="Times New Roman"/>
          <w:sz w:val="28"/>
          <w:szCs w:val="24"/>
        </w:rPr>
        <w:t xml:space="preserve"> – по 9 случаев.</w:t>
      </w:r>
      <w:r w:rsidR="001627E5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157A43" w:rsidRPr="002916AD">
        <w:rPr>
          <w:rFonts w:ascii="Times New Roman" w:eastAsia="TimesNewRomanPSMT" w:hAnsi="Times New Roman" w:cs="Times New Roman"/>
          <w:sz w:val="28"/>
          <w:szCs w:val="24"/>
        </w:rPr>
        <w:t>На т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ретье</w:t>
      </w:r>
      <w:r w:rsidR="00157A43" w:rsidRPr="002916AD">
        <w:rPr>
          <w:rFonts w:ascii="Times New Roman" w:eastAsia="TimesNewRomanPSMT" w:hAnsi="Times New Roman" w:cs="Times New Roman"/>
          <w:sz w:val="28"/>
          <w:szCs w:val="24"/>
        </w:rPr>
        <w:t>м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мест</w:t>
      </w:r>
      <w:r w:rsidR="00157A43" w:rsidRPr="002916AD">
        <w:rPr>
          <w:rFonts w:ascii="Times New Roman" w:eastAsia="TimesNewRomanPSMT" w:hAnsi="Times New Roman" w:cs="Times New Roman"/>
          <w:sz w:val="28"/>
          <w:szCs w:val="24"/>
        </w:rPr>
        <w:t>е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(табл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№ 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7).</w:t>
      </w:r>
    </w:p>
    <w:p w:rsidR="002916AD" w:rsidRDefault="002916AD" w:rsidP="008C46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</w:p>
    <w:p w:rsidR="00763334" w:rsidRPr="002916AD" w:rsidRDefault="008C468A" w:rsidP="008C46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Таблица № 7</w:t>
      </w:r>
    </w:p>
    <w:p w:rsidR="00763334" w:rsidRPr="002916AD" w:rsidRDefault="00763334" w:rsidP="007633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Острые отравления лекарственными препаратами среди населения </w:t>
      </w:r>
    </w:p>
    <w:p w:rsidR="00763334" w:rsidRPr="002916AD" w:rsidRDefault="00763334" w:rsidP="007633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>Костромской области в 201</w:t>
      </w:r>
      <w:r w:rsidR="008D617E">
        <w:rPr>
          <w:rFonts w:ascii="Times New Roman" w:eastAsia="TimesNewRomanPSMT" w:hAnsi="Times New Roman" w:cs="Times New Roman"/>
          <w:b/>
          <w:bCs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 году</w:t>
      </w:r>
    </w:p>
    <w:p w:rsidR="006A7E40" w:rsidRPr="002916AD" w:rsidRDefault="006A7E40" w:rsidP="00B53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  <w:gridCol w:w="1417"/>
        <w:gridCol w:w="1525"/>
      </w:tblGrid>
      <w:tr w:rsidR="001627E5" w:rsidTr="001627E5">
        <w:tc>
          <w:tcPr>
            <w:tcW w:w="5495" w:type="dxa"/>
            <w:vMerge w:val="restart"/>
          </w:tcPr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Наименование действующего вещества</w:t>
            </w:r>
          </w:p>
        </w:tc>
        <w:tc>
          <w:tcPr>
            <w:tcW w:w="1417" w:type="dxa"/>
          </w:tcPr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Всего</w:t>
            </w:r>
          </w:p>
          <w:p w:rsidR="001627E5" w:rsidRDefault="001627E5" w:rsidP="001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 т.ч. с летальным </w:t>
            </w:r>
          </w:p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исходом</w:t>
            </w:r>
          </w:p>
        </w:tc>
      </w:tr>
      <w:tr w:rsidR="001627E5" w:rsidTr="006A7E40">
        <w:tc>
          <w:tcPr>
            <w:tcW w:w="5495" w:type="dxa"/>
            <w:vMerge/>
          </w:tcPr>
          <w:p w:rsidR="001627E5" w:rsidRDefault="001627E5" w:rsidP="00B53A4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627E5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травление другими </w:t>
            </w: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противоинфекци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он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ными</w:t>
            </w:r>
            <w:proofErr w:type="spell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противопаразитарными средствами </w:t>
            </w:r>
            <w:proofErr w:type="gram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системного</w:t>
            </w:r>
            <w:proofErr w:type="gramEnd"/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Отравление гормонами, их синтетическими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Заменителями и антагонистами, не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Классифицированное</w:t>
            </w:r>
            <w:proofErr w:type="gram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других рубриках</w:t>
            </w:r>
          </w:p>
        </w:tc>
        <w:tc>
          <w:tcPr>
            <w:tcW w:w="1417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A5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Отравление </w:t>
            </w: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неопиоидными</w:t>
            </w:r>
            <w:proofErr w:type="spell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анельгизирующими</w:t>
            </w:r>
            <w:proofErr w:type="spell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жаропонижающими и противоревматическими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травление </w:t>
            </w:r>
            <w:proofErr w:type="gram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противосудорожными</w:t>
            </w:r>
            <w:proofErr w:type="gram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седативными,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снотворными и </w:t>
            </w: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противопаркинсоническими</w:t>
            </w:r>
            <w:proofErr w:type="spellEnd"/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травление психотропными средствами, не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классифицированными</w:t>
            </w:r>
            <w:proofErr w:type="gram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других рубриках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травление препаратами, действующими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преимущественно на вегетативную нервную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систему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8D617E" w:rsidTr="006A7E40">
        <w:tc>
          <w:tcPr>
            <w:tcW w:w="5495" w:type="dxa"/>
          </w:tcPr>
          <w:p w:rsidR="008D617E" w:rsidRDefault="008D617E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Отравление препаратами, преимущественно системного действия, и гематологическими агентами, не классифицированное в других рубриках</w:t>
            </w:r>
          </w:p>
        </w:tc>
        <w:tc>
          <w:tcPr>
            <w:tcW w:w="1417" w:type="dxa"/>
          </w:tcPr>
          <w:p w:rsidR="008D617E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8D617E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травление препаратами, действующими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преимущественно на </w:t>
            </w:r>
            <w:proofErr w:type="spellStart"/>
            <w:proofErr w:type="gram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систему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травление </w:t>
            </w: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диуретиками</w:t>
            </w:r>
            <w:proofErr w:type="spell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другими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неуточненными</w:t>
            </w:r>
            <w:proofErr w:type="spellEnd"/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лекарственными средствами,</w:t>
            </w:r>
          </w:p>
          <w:p w:rsidR="001627E5" w:rsidRPr="006A7E40" w:rsidRDefault="001627E5" w:rsidP="006A7E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медикаментами и биологическими веществами</w:t>
            </w:r>
          </w:p>
        </w:tc>
        <w:tc>
          <w:tcPr>
            <w:tcW w:w="1417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1627E5" w:rsidRPr="00D85A58" w:rsidRDefault="008D617E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627E5" w:rsidTr="006A7E40">
        <w:tc>
          <w:tcPr>
            <w:tcW w:w="5495" w:type="dxa"/>
          </w:tcPr>
          <w:p w:rsidR="001627E5" w:rsidRPr="006A7E40" w:rsidRDefault="001627E5" w:rsidP="006A7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6A7E40">
              <w:rPr>
                <w:rFonts w:ascii="Times New Roman" w:eastAsia="TimesNewRomanPSMT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1417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627E5" w:rsidRPr="00D85A58" w:rsidRDefault="001627E5" w:rsidP="006A7E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</w:tbl>
    <w:p w:rsidR="006A7E40" w:rsidRDefault="006A7E40" w:rsidP="00B53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C252B" w:rsidRDefault="00CC252B" w:rsidP="007B09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F2A94" w:rsidRDefault="00CF2A94" w:rsidP="007B09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7B0996" w:rsidRPr="002916AD" w:rsidRDefault="007B0996" w:rsidP="007B09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ПРОЧИЕ ОТРАВЛЕНИЯ ХИМИЧЕСКОЙ ЭТИОЛОГИИ</w:t>
      </w:r>
    </w:p>
    <w:p w:rsidR="007B0996" w:rsidRPr="002916AD" w:rsidRDefault="007B0996" w:rsidP="007B0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7B0996" w:rsidRPr="002916AD" w:rsidRDefault="007B0996" w:rsidP="007B0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В 201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в структуре ООХЭ острые отравления другими </w:t>
      </w:r>
      <w:proofErr w:type="spellStart"/>
      <w:r w:rsidRPr="002916AD">
        <w:rPr>
          <w:rFonts w:ascii="Times New Roman" w:eastAsia="TimesNewRomanPSMT" w:hAnsi="Times New Roman" w:cs="Times New Roman"/>
          <w:sz w:val="28"/>
          <w:szCs w:val="24"/>
        </w:rPr>
        <w:t>мониторируемыми</w:t>
      </w:r>
      <w:proofErr w:type="spell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видами (острые отравления </w:t>
      </w:r>
      <w:proofErr w:type="spellStart"/>
      <w:r w:rsidRPr="002916AD">
        <w:rPr>
          <w:rFonts w:ascii="Times New Roman" w:eastAsia="TimesNewRomanPSMT" w:hAnsi="Times New Roman" w:cs="Times New Roman"/>
          <w:sz w:val="28"/>
          <w:szCs w:val="24"/>
        </w:rPr>
        <w:t>неуточненными</w:t>
      </w:r>
      <w:proofErr w:type="spell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веществами, товарами бытового назначения, угарным газом, уксусной кислотой) и пищевыми продуктами среди населения Костромской области составляют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>25,1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от общ</w:t>
      </w:r>
      <w:r w:rsidR="001D5A61" w:rsidRPr="002916AD">
        <w:rPr>
          <w:rFonts w:ascii="Times New Roman" w:eastAsia="TimesNewRomanPSMT" w:hAnsi="Times New Roman" w:cs="Times New Roman"/>
          <w:sz w:val="28"/>
          <w:szCs w:val="24"/>
        </w:rPr>
        <w:t>его числа отравлений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:</w:t>
      </w:r>
    </w:p>
    <w:p w:rsidR="007B0996" w:rsidRPr="002A5069" w:rsidRDefault="007B0996" w:rsidP="007B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I место </w:t>
      </w:r>
      <w:r w:rsidR="008C468A" w:rsidRPr="002916AD">
        <w:rPr>
          <w:rFonts w:ascii="Times New Roman" w:eastAsia="TimesNewRomanPSMT" w:hAnsi="Times New Roman" w:cs="Times New Roman"/>
          <w:sz w:val="28"/>
          <w:szCs w:val="24"/>
        </w:rPr>
        <w:t>–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D617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отравления другими </w:t>
      </w:r>
      <w:proofErr w:type="spellStart"/>
      <w:r w:rsidR="008D617E" w:rsidRPr="002916AD">
        <w:rPr>
          <w:rFonts w:ascii="Times New Roman" w:eastAsia="TimesNewRomanPSMT" w:hAnsi="Times New Roman" w:cs="Times New Roman"/>
          <w:sz w:val="28"/>
          <w:szCs w:val="24"/>
        </w:rPr>
        <w:t>неуточненными</w:t>
      </w:r>
      <w:proofErr w:type="spellEnd"/>
      <w:r w:rsidR="008D617E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веществами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>-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>27,3%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2A5069" w:rsidRPr="002A5069" w:rsidRDefault="002A5069" w:rsidP="007B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II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место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 xml:space="preserve">- 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 xml:space="preserve">отравления окисью углерода - </w:t>
      </w:r>
      <w:r w:rsidR="008D617E">
        <w:rPr>
          <w:rFonts w:ascii="Times New Roman" w:eastAsia="TimesNewRomanPSMT" w:hAnsi="Times New Roman" w:cs="Times New Roman"/>
          <w:sz w:val="28"/>
          <w:szCs w:val="24"/>
        </w:rPr>
        <w:t>25,5%</w:t>
      </w:r>
      <w:proofErr w:type="gramStart"/>
      <w:r w:rsidR="008D617E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>;</w:t>
      </w:r>
      <w:proofErr w:type="gramEnd"/>
    </w:p>
    <w:p w:rsidR="007B0996" w:rsidRPr="002A5069" w:rsidRDefault="002A5069" w:rsidP="007B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II</w:t>
      </w:r>
      <w:r>
        <w:rPr>
          <w:rFonts w:ascii="Times New Roman" w:eastAsia="TimesNewRomanPSMT" w:hAnsi="Times New Roman" w:cs="Times New Roman"/>
          <w:sz w:val="28"/>
          <w:szCs w:val="24"/>
          <w:lang w:val="en-US"/>
        </w:rPr>
        <w:t>I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место -</w:t>
      </w:r>
      <w:r w:rsidR="007B0996"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отравления 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>газами, дымами, парами -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473E9">
        <w:rPr>
          <w:rFonts w:ascii="Times New Roman" w:eastAsia="TimesNewRomanPSMT" w:hAnsi="Times New Roman" w:cs="Times New Roman"/>
          <w:sz w:val="28"/>
          <w:szCs w:val="24"/>
        </w:rPr>
        <w:t xml:space="preserve">10,9% </w:t>
      </w:r>
      <w:r w:rsidRPr="002A506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7B0996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(табл</w:t>
      </w:r>
      <w:r w:rsidR="007B0996"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="007B0996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№ </w:t>
      </w:r>
      <w:r w:rsidR="007B0996" w:rsidRPr="002916AD">
        <w:rPr>
          <w:rFonts w:ascii="Times New Roman" w:eastAsia="TimesNewRomanPSMT" w:hAnsi="Times New Roman" w:cs="Times New Roman"/>
          <w:bCs/>
          <w:sz w:val="28"/>
          <w:szCs w:val="24"/>
        </w:rPr>
        <w:t>8).</w:t>
      </w:r>
    </w:p>
    <w:p w:rsidR="001D5A61" w:rsidRPr="002916AD" w:rsidRDefault="001D5A61" w:rsidP="007B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2A5069" w:rsidRPr="00AF0D04" w:rsidRDefault="002A5069" w:rsidP="008C4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</w:p>
    <w:p w:rsidR="002A5069" w:rsidRPr="00AF0D04" w:rsidRDefault="002A5069" w:rsidP="008C4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</w:p>
    <w:p w:rsidR="00763334" w:rsidRPr="002916AD" w:rsidRDefault="008C468A" w:rsidP="008C4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Таблица № 8</w:t>
      </w:r>
    </w:p>
    <w:p w:rsidR="00763334" w:rsidRPr="002916AD" w:rsidRDefault="00763334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Структура прочих острых отравлений среди населения </w:t>
      </w:r>
    </w:p>
    <w:p w:rsidR="00763334" w:rsidRPr="002916AD" w:rsidRDefault="00763334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>Костромской области в 201</w:t>
      </w:r>
      <w:r w:rsidR="006473E9">
        <w:rPr>
          <w:rFonts w:ascii="Times New Roman" w:eastAsia="TimesNewRomanPSMT" w:hAnsi="Times New Roman" w:cs="Times New Roman"/>
          <w:b/>
          <w:bCs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 году</w:t>
      </w:r>
    </w:p>
    <w:p w:rsidR="00763334" w:rsidRDefault="00763334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7"/>
        <w:gridCol w:w="1414"/>
        <w:gridCol w:w="1446"/>
      </w:tblGrid>
      <w:tr w:rsidR="006473E9" w:rsidTr="006473E9">
        <w:tc>
          <w:tcPr>
            <w:tcW w:w="5477" w:type="dxa"/>
            <w:vMerge w:val="restart"/>
          </w:tcPr>
          <w:p w:rsid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Наименование действующего вещества</w:t>
            </w:r>
          </w:p>
        </w:tc>
        <w:tc>
          <w:tcPr>
            <w:tcW w:w="1414" w:type="dxa"/>
          </w:tcPr>
          <w:p w:rsid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 т.ч. с летальным исходом</w:t>
            </w:r>
          </w:p>
        </w:tc>
      </w:tr>
      <w:tr w:rsidR="006473E9" w:rsidTr="006473E9">
        <w:tc>
          <w:tcPr>
            <w:tcW w:w="5477" w:type="dxa"/>
            <w:vMerge/>
          </w:tcPr>
          <w:p w:rsidR="006473E9" w:rsidRDefault="006473E9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6473E9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ВСЕГО прочих отравлений, из них:</w:t>
            </w: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6" w:type="dxa"/>
          </w:tcPr>
          <w:p w:rsidR="006473E9" w:rsidRPr="002A5069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7633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Токсическое действие </w:t>
            </w:r>
            <w:proofErr w:type="gramStart"/>
            <w:r w:rsidRPr="007633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органических</w:t>
            </w:r>
            <w:proofErr w:type="gramEnd"/>
          </w:p>
          <w:p w:rsidR="006473E9" w:rsidRPr="00763334" w:rsidRDefault="006473E9" w:rsidP="007633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растворителей</w:t>
            </w:r>
          </w:p>
        </w:tc>
        <w:tc>
          <w:tcPr>
            <w:tcW w:w="1414" w:type="dxa"/>
          </w:tcPr>
          <w:p w:rsidR="006473E9" w:rsidRPr="002A506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7633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Токсическое действие разъедающих веществ,</w:t>
            </w:r>
          </w:p>
          <w:p w:rsidR="006473E9" w:rsidRPr="00763334" w:rsidRDefault="006473E9" w:rsidP="007633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63334">
              <w:rPr>
                <w:rFonts w:ascii="Times New Roman" w:eastAsia="TimesNewRomanPSMT" w:hAnsi="Times New Roman" w:cs="Times New Roman"/>
                <w:sz w:val="24"/>
                <w:szCs w:val="24"/>
              </w:rPr>
              <w:t>в т.ч</w:t>
            </w:r>
            <w:r w:rsidRPr="00763334">
              <w:rPr>
                <w:rFonts w:ascii="Times New Roman" w:eastAsia="TimesNewRomanPS-BoldMT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4" w:type="dxa"/>
          </w:tcPr>
          <w:p w:rsidR="006473E9" w:rsidRP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6473E9" w:rsidRPr="006473E9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7633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дких кисло и </w:t>
            </w:r>
            <w:proofErr w:type="spellStart"/>
            <w:r w:rsidRPr="00763334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кислотоподобных</w:t>
            </w:r>
            <w:proofErr w:type="spellEnd"/>
            <w:r w:rsidRPr="007633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4" w:type="dxa"/>
          </w:tcPr>
          <w:p w:rsidR="006473E9" w:rsidRPr="006473E9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6473E9" w:rsidRPr="006473E9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Токсическое действие окиси углерода</w:t>
            </w: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6473E9" w:rsidTr="006473E9">
        <w:tc>
          <w:tcPr>
            <w:tcW w:w="5477" w:type="dxa"/>
          </w:tcPr>
          <w:p w:rsidR="006473E9" w:rsidRPr="00763334" w:rsidRDefault="006473E9" w:rsidP="0076333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Токсическое действие других газов, дымов и</w:t>
            </w:r>
          </w:p>
          <w:p w:rsidR="006473E9" w:rsidRPr="00763334" w:rsidRDefault="006473E9" w:rsidP="007633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333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паров</w:t>
            </w: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6473E9" w:rsidTr="006473E9">
        <w:tc>
          <w:tcPr>
            <w:tcW w:w="5477" w:type="dxa"/>
          </w:tcPr>
          <w:p w:rsidR="006473E9" w:rsidRPr="00A52397" w:rsidRDefault="006473E9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239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Токсическое действие пестицидов</w:t>
            </w: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6473E9" w:rsidTr="006473E9">
        <w:tc>
          <w:tcPr>
            <w:tcW w:w="5477" w:type="dxa"/>
          </w:tcPr>
          <w:p w:rsidR="006473E9" w:rsidRPr="00A52397" w:rsidRDefault="006473E9" w:rsidP="007633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5239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Токсическое действие других </w:t>
            </w:r>
            <w:proofErr w:type="spellStart"/>
            <w:r w:rsidRPr="00A5239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неуточненных</w:t>
            </w:r>
            <w:proofErr w:type="spellEnd"/>
            <w:r w:rsidRPr="00A5239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веществ</w:t>
            </w:r>
          </w:p>
          <w:p w:rsidR="006473E9" w:rsidRPr="00A52397" w:rsidRDefault="006473E9" w:rsidP="007633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6473E9" w:rsidTr="006473E9">
        <w:tc>
          <w:tcPr>
            <w:tcW w:w="5477" w:type="dxa"/>
          </w:tcPr>
          <w:p w:rsidR="006473E9" w:rsidRPr="00A52397" w:rsidRDefault="006473E9" w:rsidP="00E97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5239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Токсический эффект, обусловленный контактом с ядовитыми животными</w:t>
            </w:r>
          </w:p>
        </w:tc>
        <w:tc>
          <w:tcPr>
            <w:tcW w:w="1414" w:type="dxa"/>
          </w:tcPr>
          <w:p w:rsidR="006473E9" w:rsidRPr="00D85A58" w:rsidRDefault="006473E9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6473E9" w:rsidTr="006473E9">
        <w:tc>
          <w:tcPr>
            <w:tcW w:w="5477" w:type="dxa"/>
          </w:tcPr>
          <w:p w:rsidR="006473E9" w:rsidRDefault="006473E9" w:rsidP="00234D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414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473E9" w:rsidRPr="00D85A58" w:rsidRDefault="006473E9" w:rsidP="00234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</w:tbl>
    <w:p w:rsidR="00763334" w:rsidRDefault="00763334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C252B" w:rsidRDefault="00CC252B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F2A94" w:rsidRDefault="00CF2A94" w:rsidP="002A50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D53409" w:rsidRDefault="00D53409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D53409" w:rsidRDefault="00D53409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A52397" w:rsidRPr="002916AD" w:rsidRDefault="00A52397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 xml:space="preserve">ОТРАВЛЕНИЯ АЛКОГОЛЬНОЙ ПРОДУКЦИЕЙ </w:t>
      </w:r>
      <w:r w:rsidR="004E3AD5" w:rsidRPr="002916AD">
        <w:rPr>
          <w:rFonts w:ascii="Times New Roman" w:eastAsia="TimesNewRomanPSMT" w:hAnsi="Times New Roman" w:cs="Times New Roman"/>
          <w:b/>
          <w:sz w:val="28"/>
          <w:szCs w:val="24"/>
        </w:rPr>
        <w:t>И</w:t>
      </w:r>
    </w:p>
    <w:p w:rsidR="00A52397" w:rsidRPr="002916AD" w:rsidRDefault="00A52397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sz w:val="28"/>
          <w:szCs w:val="24"/>
        </w:rPr>
        <w:t>СПИРТОСОДЕРЖАЩИМИ ЖИДКОСТЯМИ</w:t>
      </w:r>
    </w:p>
    <w:p w:rsidR="00A52397" w:rsidRPr="002916AD" w:rsidRDefault="00A52397" w:rsidP="0076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A52397" w:rsidRPr="002916AD" w:rsidRDefault="00A52397" w:rsidP="002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>За 201</w:t>
      </w:r>
      <w:r w:rsidR="00D53409">
        <w:rPr>
          <w:rFonts w:ascii="Times New Roman" w:eastAsia="TimesNewRomanPSMT" w:hAnsi="Times New Roman" w:cs="Times New Roman"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 зарегистрировано </w:t>
      </w:r>
      <w:r w:rsidR="00D53409">
        <w:rPr>
          <w:rFonts w:ascii="Times New Roman" w:eastAsia="TimesNewRomanPSMT" w:hAnsi="Times New Roman" w:cs="Times New Roman"/>
          <w:sz w:val="28"/>
          <w:szCs w:val="24"/>
        </w:rPr>
        <w:t>77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D53409">
        <w:rPr>
          <w:rFonts w:ascii="Times New Roman" w:eastAsia="TimesNewRomanPSMT" w:hAnsi="Times New Roman" w:cs="Times New Roman"/>
          <w:sz w:val="28"/>
          <w:szCs w:val="24"/>
        </w:rPr>
        <w:t>ев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отравлений алкогольной продукцией и спиртсодержащими жидкостями. Интенсивный показатель отравлений спиртсодержащей продукцией на 100 тыс. населения составил </w:t>
      </w:r>
      <w:r w:rsidR="00761761">
        <w:rPr>
          <w:rFonts w:ascii="Times New Roman" w:eastAsia="TimesNewRomanPSMT" w:hAnsi="Times New Roman" w:cs="Times New Roman"/>
          <w:sz w:val="28"/>
          <w:szCs w:val="24"/>
        </w:rPr>
        <w:t>12,08</w:t>
      </w:r>
      <w:r w:rsidR="00E3224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(рис</w:t>
      </w:r>
      <w:r w:rsidR="001D5A61" w:rsidRPr="002916AD">
        <w:rPr>
          <w:rFonts w:ascii="Times New Roman" w:eastAsia="TimesNewRomanPSMT" w:hAnsi="Times New Roman" w:cs="Times New Roman"/>
          <w:bCs/>
          <w:sz w:val="28"/>
          <w:szCs w:val="24"/>
        </w:rPr>
        <w:t>.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№</w:t>
      </w:r>
      <w:r w:rsidR="001D5A61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8</w:t>
      </w:r>
      <w:r w:rsidR="00F80138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)</w:t>
      </w:r>
      <w:r w:rsidR="00E32243">
        <w:rPr>
          <w:rFonts w:ascii="Times New Roman" w:eastAsia="TimesNewRomanPS-BoldMT" w:hAnsi="Times New Roman" w:cs="Times New Roman"/>
          <w:bCs/>
          <w:sz w:val="28"/>
          <w:szCs w:val="24"/>
        </w:rPr>
        <w:t>.</w:t>
      </w:r>
    </w:p>
    <w:p w:rsidR="00F80138" w:rsidRDefault="00F80138" w:rsidP="00F801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80138" w:rsidRDefault="00761761" w:rsidP="00F8013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61761">
        <w:rPr>
          <w:rFonts w:ascii="Times New Roman" w:eastAsia="TimesNewRomanPSMT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2789689"/>
            <wp:effectExtent l="19050" t="0" r="1333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71E1" w:rsidRDefault="002C71E1" w:rsidP="00F8013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978A4" w:rsidRDefault="004E3AD5" w:rsidP="00F8013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Рис. </w:t>
      </w:r>
      <w:r w:rsidR="001D5A61">
        <w:rPr>
          <w:rFonts w:ascii="Times New Roman" w:eastAsia="TimesNewRomanPSMT" w:hAnsi="Times New Roman" w:cs="Times New Roman"/>
          <w:b/>
          <w:sz w:val="24"/>
          <w:szCs w:val="24"/>
        </w:rPr>
        <w:t xml:space="preserve">8 </w:t>
      </w:r>
      <w:r w:rsidRPr="00E978A4">
        <w:rPr>
          <w:rFonts w:ascii="Times New Roman" w:eastAsia="TimesNewRomanPSMT" w:hAnsi="Times New Roman" w:cs="Times New Roman"/>
          <w:sz w:val="24"/>
          <w:szCs w:val="24"/>
        </w:rPr>
        <w:t xml:space="preserve">Динамика отравлений алкоголем и спиртсодержащими жидкостями </w:t>
      </w:r>
    </w:p>
    <w:p w:rsidR="002C71E1" w:rsidRDefault="004E3AD5" w:rsidP="00F8013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978A4">
        <w:rPr>
          <w:rFonts w:ascii="Times New Roman" w:eastAsia="TimesNewRomanPSMT" w:hAnsi="Times New Roman" w:cs="Times New Roman"/>
          <w:sz w:val="24"/>
          <w:szCs w:val="24"/>
        </w:rPr>
        <w:t>за 201</w:t>
      </w:r>
      <w:r w:rsidR="00761761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E978A4">
        <w:rPr>
          <w:rFonts w:ascii="Times New Roman" w:eastAsia="TimesNewRomanPSMT" w:hAnsi="Times New Roman" w:cs="Times New Roman"/>
          <w:sz w:val="24"/>
          <w:szCs w:val="24"/>
        </w:rPr>
        <w:t>-201</w:t>
      </w:r>
      <w:r w:rsidR="00761761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E978A4">
        <w:rPr>
          <w:rFonts w:ascii="Times New Roman" w:eastAsia="TimesNewRomanPSMT" w:hAnsi="Times New Roman" w:cs="Times New Roman"/>
          <w:sz w:val="24"/>
          <w:szCs w:val="24"/>
        </w:rPr>
        <w:t>гг</w:t>
      </w:r>
      <w:r w:rsidR="0076176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978A4" w:rsidRDefault="00E978A4" w:rsidP="00F8013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37267F" w:rsidRPr="002916AD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Среди случаев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отравлений алкоголем и его производными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лидирующее положение занимают отравления этиловым спиртом – 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56,6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(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69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случаев). На втором месте отравления </w:t>
      </w:r>
      <w:proofErr w:type="spellStart"/>
      <w:r w:rsidRPr="002916AD">
        <w:rPr>
          <w:rFonts w:ascii="Times New Roman" w:eastAsia="TimesNewRomanPSMT" w:hAnsi="Times New Roman" w:cs="Times New Roman"/>
          <w:sz w:val="28"/>
          <w:szCs w:val="24"/>
        </w:rPr>
        <w:t>неуточненным</w:t>
      </w:r>
      <w:proofErr w:type="spellEnd"/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спиртом (в т.ч. суррогатами алкоголя) – 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27,9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% (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34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случа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я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>).</w:t>
      </w:r>
    </w:p>
    <w:p w:rsidR="00E978A4" w:rsidRPr="002916AD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В 201</w:t>
      </w:r>
      <w:r w:rsidR="0063443C">
        <w:rPr>
          <w:rFonts w:ascii="Times New Roman" w:eastAsia="TimesNewRomanPSMT" w:hAnsi="Times New Roman" w:cs="Times New Roman"/>
          <w:sz w:val="28"/>
          <w:szCs w:val="24"/>
        </w:rPr>
        <w:t>8</w:t>
      </w:r>
      <w:r w:rsidRPr="002916AD">
        <w:rPr>
          <w:rFonts w:ascii="Times New Roman" w:eastAsia="TimesNewRomanPSMT" w:hAnsi="Times New Roman" w:cs="Times New Roman"/>
          <w:sz w:val="28"/>
          <w:szCs w:val="24"/>
        </w:rPr>
        <w:t xml:space="preserve"> году зарегистрированы случаи отравления этиловым спиртом, алкоголь содержащими жидкостями (суррогатами алкоголя), метиловым спиртом, стеклоочистителем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(</w:t>
      </w:r>
      <w:proofErr w:type="spellStart"/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рис</w:t>
      </w:r>
      <w:r w:rsidR="001D5A61" w:rsidRPr="002916AD">
        <w:rPr>
          <w:rFonts w:ascii="Times New Roman" w:eastAsia="TimesNewRomanPSMT" w:hAnsi="Times New Roman" w:cs="Times New Roman"/>
          <w:bCs/>
          <w:sz w:val="28"/>
          <w:szCs w:val="24"/>
        </w:rPr>
        <w:t>.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№</w:t>
      </w:r>
      <w:proofErr w:type="spellEnd"/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 </w:t>
      </w:r>
      <w:r w:rsidR="001D5A61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,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таб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 xml:space="preserve">. </w:t>
      </w:r>
      <w:r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 xml:space="preserve">№ </w:t>
      </w:r>
      <w:r w:rsidR="001D5A61" w:rsidRPr="002916AD">
        <w:rPr>
          <w:rFonts w:ascii="Times New Roman" w:eastAsia="TimesNewRomanPS-BoldMT" w:hAnsi="Times New Roman" w:cs="Times New Roman"/>
          <w:bCs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).</w:t>
      </w:r>
    </w:p>
    <w:p w:rsidR="00E978A4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84849" w:rsidRDefault="00084849" w:rsidP="0038000A">
      <w:pPr>
        <w:autoSpaceDE w:val="0"/>
        <w:autoSpaceDN w:val="0"/>
        <w:adjustRightInd w:val="0"/>
        <w:spacing w:after="0" w:line="240" w:lineRule="auto"/>
        <w:ind w:right="-142" w:hanging="142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84849" w:rsidRDefault="0038000A" w:rsidP="0038000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8000A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5015" cy="3422650"/>
            <wp:effectExtent l="19050" t="0" r="13335" b="635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000A" w:rsidRDefault="0038000A" w:rsidP="000848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84849" w:rsidRPr="002916AD" w:rsidRDefault="00084849" w:rsidP="000848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Рис. </w:t>
      </w:r>
      <w:r w:rsidR="001D5A61" w:rsidRPr="002916AD">
        <w:rPr>
          <w:rFonts w:ascii="Times New Roman" w:eastAsia="TimesNewRomanPSMT" w:hAnsi="Times New Roman" w:cs="Times New Roman"/>
          <w:b/>
          <w:bCs/>
          <w:sz w:val="24"/>
          <w:szCs w:val="24"/>
        </w:rPr>
        <w:t>9</w:t>
      </w:r>
      <w:r w:rsidRPr="002916A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916AD">
        <w:rPr>
          <w:rFonts w:ascii="Times New Roman" w:eastAsia="TimesNewRomanPSMT" w:hAnsi="Times New Roman" w:cs="Times New Roman"/>
          <w:bCs/>
          <w:sz w:val="24"/>
          <w:szCs w:val="24"/>
        </w:rPr>
        <w:t>Структура острых отравлений спиртосодержащей продукцией населения Костромской области в 201</w:t>
      </w:r>
      <w:r w:rsidR="0063443C">
        <w:rPr>
          <w:rFonts w:ascii="Times New Roman" w:eastAsia="TimesNewRomanPSMT" w:hAnsi="Times New Roman" w:cs="Times New Roman"/>
          <w:bCs/>
          <w:sz w:val="24"/>
          <w:szCs w:val="24"/>
        </w:rPr>
        <w:t>8</w:t>
      </w:r>
      <w:r w:rsidRPr="002916AD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году.</w:t>
      </w:r>
    </w:p>
    <w:p w:rsidR="001D5A61" w:rsidRDefault="001D5A61" w:rsidP="001D5A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84849" w:rsidRPr="002916AD" w:rsidRDefault="001D5A61" w:rsidP="001D5A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Cs/>
          <w:sz w:val="28"/>
          <w:szCs w:val="24"/>
        </w:rPr>
        <w:t>Таблица № 9</w:t>
      </w:r>
    </w:p>
    <w:p w:rsidR="00E978A4" w:rsidRPr="002916AD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>Острые отравления алкоголем и его производными среди населения Костромской области за 201</w:t>
      </w:r>
      <w:r w:rsidR="00DD2B13">
        <w:rPr>
          <w:rFonts w:ascii="Times New Roman" w:eastAsia="TimesNewRomanPSMT" w:hAnsi="Times New Roman" w:cs="Times New Roman"/>
          <w:b/>
          <w:bCs/>
          <w:sz w:val="28"/>
          <w:szCs w:val="24"/>
        </w:rPr>
        <w:t>9</w:t>
      </w:r>
      <w:r w:rsidRPr="002916AD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 год</w:t>
      </w:r>
    </w:p>
    <w:p w:rsidR="00E978A4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1275"/>
        <w:gridCol w:w="1276"/>
        <w:gridCol w:w="1134"/>
        <w:gridCol w:w="1158"/>
        <w:gridCol w:w="1643"/>
      </w:tblGrid>
      <w:tr w:rsidR="00E978A4" w:rsidTr="007647DC">
        <w:tc>
          <w:tcPr>
            <w:tcW w:w="3369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2292" w:type="dxa"/>
            <w:gridSpan w:val="2"/>
          </w:tcPr>
          <w:p w:rsid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 с летальным исходом</w:t>
            </w:r>
          </w:p>
        </w:tc>
        <w:tc>
          <w:tcPr>
            <w:tcW w:w="1643" w:type="dxa"/>
          </w:tcPr>
          <w:p w:rsidR="00E978A4" w:rsidRP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Удельный вес</w:t>
            </w:r>
          </w:p>
          <w:p w:rsidR="00E978A4" w:rsidRP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смертности</w:t>
            </w:r>
          </w:p>
          <w:p w:rsidR="00E978A4" w:rsidRP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от всего</w:t>
            </w:r>
          </w:p>
          <w:p w:rsidR="00E978A4" w:rsidRP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острых</w:t>
            </w:r>
          </w:p>
          <w:p w:rsidR="00E978A4" w:rsidRP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отравлений</w:t>
            </w:r>
          </w:p>
          <w:p w:rsidR="00E978A4" w:rsidRDefault="00E978A4" w:rsidP="00764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78A4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алкоголем</w:t>
            </w:r>
          </w:p>
        </w:tc>
      </w:tr>
      <w:tr w:rsidR="00E978A4" w:rsidTr="007647DC">
        <w:tc>
          <w:tcPr>
            <w:tcW w:w="3369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8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E978A4" w:rsidRDefault="00E978A4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E1390A" w:rsidTr="007647DC">
        <w:tc>
          <w:tcPr>
            <w:tcW w:w="3369" w:type="dxa"/>
          </w:tcPr>
          <w:p w:rsidR="00812B81" w:rsidRPr="00812B81" w:rsidRDefault="00812B81" w:rsidP="00812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12B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Всего острых отравлений</w:t>
            </w:r>
          </w:p>
          <w:p w:rsidR="00812B81" w:rsidRPr="00812B81" w:rsidRDefault="00812B81" w:rsidP="00812B8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а</w:t>
            </w:r>
            <w:r w:rsidRPr="00812B8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лкоголем</w:t>
            </w:r>
          </w:p>
          <w:p w:rsidR="00E1390A" w:rsidRPr="00812B81" w:rsidRDefault="00812B81" w:rsidP="00812B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12B81">
              <w:rPr>
                <w:rFonts w:ascii="Times New Roman" w:eastAsia="TimesNewRomanPSMT" w:hAnsi="Times New Roman" w:cs="Times New Roman"/>
                <w:sz w:val="24"/>
                <w:szCs w:val="24"/>
              </w:rPr>
              <w:t>и его производными</w:t>
            </w:r>
            <w:r w:rsidRPr="00812B8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, </w:t>
            </w:r>
            <w:r w:rsidRPr="00812B81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</w:t>
            </w:r>
            <w:r w:rsidRPr="00812B81">
              <w:rPr>
                <w:rFonts w:ascii="Times New Roman" w:eastAsia="TimesNewRomanPS-BoldMT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E1390A" w:rsidRPr="00812B81" w:rsidRDefault="00EE4CAA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1390A" w:rsidRPr="00812B81" w:rsidRDefault="00E1390A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90A" w:rsidRPr="00812B81" w:rsidRDefault="00EE4CAA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58" w:type="dxa"/>
          </w:tcPr>
          <w:p w:rsidR="00E1390A" w:rsidRPr="00812B81" w:rsidRDefault="00E1390A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1390A" w:rsidRPr="00812B81" w:rsidRDefault="00EE4CAA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43,41</w:t>
            </w:r>
          </w:p>
        </w:tc>
      </w:tr>
      <w:tr w:rsidR="00E1390A" w:rsidTr="007647DC">
        <w:tc>
          <w:tcPr>
            <w:tcW w:w="3369" w:type="dxa"/>
          </w:tcPr>
          <w:p w:rsidR="00E1390A" w:rsidRPr="00812B81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12B81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Этиловым спиртом</w:t>
            </w:r>
          </w:p>
        </w:tc>
        <w:tc>
          <w:tcPr>
            <w:tcW w:w="1275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1134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8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61,39</w:t>
            </w:r>
          </w:p>
        </w:tc>
        <w:tc>
          <w:tcPr>
            <w:tcW w:w="1643" w:type="dxa"/>
          </w:tcPr>
          <w:p w:rsidR="00E1390A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47,69</w:t>
            </w:r>
          </w:p>
        </w:tc>
      </w:tr>
      <w:tr w:rsidR="00E1390A" w:rsidTr="007647DC">
        <w:tc>
          <w:tcPr>
            <w:tcW w:w="3369" w:type="dxa"/>
          </w:tcPr>
          <w:p w:rsidR="00E1390A" w:rsidRPr="00812B81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12B81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Метиловым спиртом</w:t>
            </w:r>
          </w:p>
        </w:tc>
        <w:tc>
          <w:tcPr>
            <w:tcW w:w="1275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134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643" w:type="dxa"/>
          </w:tcPr>
          <w:p w:rsidR="00E1390A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12B81" w:rsidTr="007647DC">
        <w:tc>
          <w:tcPr>
            <w:tcW w:w="3369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2-пропанола</w:t>
            </w:r>
          </w:p>
        </w:tc>
        <w:tc>
          <w:tcPr>
            <w:tcW w:w="1275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3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0,77</w:t>
            </w:r>
          </w:p>
        </w:tc>
      </w:tr>
      <w:tr w:rsidR="00812B81" w:rsidTr="007647DC">
        <w:tc>
          <w:tcPr>
            <w:tcW w:w="3369" w:type="dxa"/>
          </w:tcPr>
          <w:p w:rsidR="00812B81" w:rsidRPr="00812B81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спирты</w:t>
            </w:r>
          </w:p>
        </w:tc>
        <w:tc>
          <w:tcPr>
            <w:tcW w:w="1275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643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3,08</w:t>
            </w:r>
          </w:p>
        </w:tc>
      </w:tr>
      <w:tr w:rsidR="00E1390A" w:rsidTr="007647DC">
        <w:tc>
          <w:tcPr>
            <w:tcW w:w="3369" w:type="dxa"/>
          </w:tcPr>
          <w:p w:rsidR="00E1390A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неуточненный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1134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E1390A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1643" w:type="dxa"/>
          </w:tcPr>
          <w:p w:rsidR="00E1390A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16,16</w:t>
            </w:r>
          </w:p>
        </w:tc>
      </w:tr>
      <w:tr w:rsidR="00812B81" w:rsidTr="007647DC">
        <w:tc>
          <w:tcPr>
            <w:tcW w:w="3369" w:type="dxa"/>
          </w:tcPr>
          <w:p w:rsidR="00812B81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Суррогаты алкоголя</w:t>
            </w:r>
          </w:p>
        </w:tc>
        <w:tc>
          <w:tcPr>
            <w:tcW w:w="1275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1134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643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9,23</w:t>
            </w:r>
          </w:p>
        </w:tc>
      </w:tr>
      <w:tr w:rsidR="00812B81" w:rsidTr="007647DC">
        <w:tc>
          <w:tcPr>
            <w:tcW w:w="3369" w:type="dxa"/>
          </w:tcPr>
          <w:p w:rsidR="00812B81" w:rsidRDefault="00812B81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Технический спирт</w:t>
            </w:r>
          </w:p>
        </w:tc>
        <w:tc>
          <w:tcPr>
            <w:tcW w:w="1275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34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643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4,62</w:t>
            </w:r>
          </w:p>
        </w:tc>
      </w:tr>
      <w:tr w:rsidR="00812B81" w:rsidTr="007647DC">
        <w:tc>
          <w:tcPr>
            <w:tcW w:w="3369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75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134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643" w:type="dxa"/>
          </w:tcPr>
          <w:p w:rsidR="00812B81" w:rsidRPr="00812B81" w:rsidRDefault="002C0416" w:rsidP="00E978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6,15</w:t>
            </w:r>
          </w:p>
        </w:tc>
      </w:tr>
    </w:tbl>
    <w:p w:rsidR="00E978A4" w:rsidRDefault="00E978A4" w:rsidP="00E97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2B13" w:rsidRPr="00DD2B13" w:rsidRDefault="00DD2B13" w:rsidP="00DD2B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В 2019 году зарегистрировано 77 случаев острых отравлений спиртсодержащей продукцией, что составило 12,08 на 100 тыс. населения области (в 2018 г. – 18,96) из них с летальным исходом 55 случаев или 67,07 % </w:t>
      </w:r>
      <w:r w:rsidRPr="00DD2B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числа пострадавших, </w:t>
      </w:r>
      <w:bookmarkStart w:id="0" w:name="_GoBack"/>
      <w:bookmarkEnd w:id="0"/>
      <w:r w:rsidRPr="00DD2B13">
        <w:rPr>
          <w:rFonts w:ascii="Times New Roman" w:eastAsia="Calibri" w:hAnsi="Times New Roman" w:cs="Times New Roman"/>
          <w:sz w:val="28"/>
          <w:szCs w:val="28"/>
        </w:rPr>
        <w:t>процент отравлений с летальным исходом также снизился – 71,43%  (2018 г. – 77,69%) .</w:t>
      </w:r>
    </w:p>
    <w:p w:rsidR="00DD2B13" w:rsidRPr="00DD2B13" w:rsidRDefault="00DD2B13" w:rsidP="00DD2B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>Зарегистрировано 2 случая алкогольного отравления среди детского населения (мальчик и девочка), и 1 случая среди  подростков (юноша).</w:t>
      </w:r>
    </w:p>
    <w:p w:rsidR="00DD2B13" w:rsidRPr="00DD2B13" w:rsidRDefault="00DD2B13" w:rsidP="00DD2B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>Среди детей и подростков летальных исходов от отравлений спиртсодержащей продукцией  не зарегистрировано.</w:t>
      </w:r>
    </w:p>
    <w:p w:rsidR="00DD2B13" w:rsidRPr="00DD2B13" w:rsidRDefault="00DD2B13" w:rsidP="00DD2B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полововозрастной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 структуре острых отравлений спиртсодержащей продукцией 96% (в 2018 году 95,1%) приходится на взрослое население, 2,6 % - на детей до 14 лет (в 2018 г. 3,27%) и 1,3% - на подростков (в 2018 г. - 1,64%). Среди  мужского населения зарегистрировано 60 случаев отравлений  или 77,9% (в 2018 г. -  68,85%)  и соответственно 22,08% (в 2018 г. - 31,15%)_ приходится на женское население и 77,92%  (в 2018 г.- 79,76%)  на мужское.  Количество летальных случаев снизилось среди женского населения и составляет 58,8 % (в 2018 г - 89,5%), среди мужского 75%  (в 2018 г. - 79,7%).</w:t>
      </w:r>
    </w:p>
    <w:p w:rsidR="00DD2B13" w:rsidRPr="00DD2B13" w:rsidRDefault="00DD2B13" w:rsidP="00DD2B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 В этиологической структуре острых отравлений спиртсодержащей продукцией  доля отравлений этиловым спиртом (этанолом) осталась практически на том же уровне - 54,55% (в 2018 г. – 56,55 %),     при этом удельный вес отравлений другими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неуточненными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 спиртами 35,06% увеличился (в 2018 г. - 27,86 %)  за счет отравлений суррогатным алкоголем и техническим спиртом – 22,08% (в 2018 г. - 17,21%); летальность при отравлении суррогатами алкоголя немного уменьшилась и составляет 47,6%. до (57,1% в 2018 г.).</w:t>
      </w:r>
    </w:p>
    <w:p w:rsidR="00DD2B13" w:rsidRPr="00B7080C" w:rsidRDefault="00DD2B13" w:rsidP="00DD2B13">
      <w:pPr>
        <w:tabs>
          <w:tab w:val="left" w:pos="2625"/>
          <w:tab w:val="left" w:pos="8789"/>
          <w:tab w:val="left" w:pos="10065"/>
          <w:tab w:val="left" w:pos="10348"/>
        </w:tabs>
        <w:spacing w:after="0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D2B13">
        <w:rPr>
          <w:rFonts w:ascii="Times New Roman" w:eastAsia="Calibri" w:hAnsi="Times New Roman" w:cs="Times New Roman"/>
          <w:sz w:val="28"/>
          <w:szCs w:val="28"/>
        </w:rPr>
        <w:t>Выше средне областного показателя отравление алкогольной продукцией на 100 тыс. населения в 2019 г. отмечается в г</w:t>
      </w:r>
      <w:proofErr w:type="gramStart"/>
      <w:r w:rsidRPr="00DD2B1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олгореченске, Галичском,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Кологривском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Костромском,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Нерехтском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Мантуровском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Межевском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Поназыревском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 районах; с летальным исходом – в г.Костроме, г.Волгореченске, Галичском, Буйском,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Кологривском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Межевском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Островском, 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Поназыревском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B13">
        <w:rPr>
          <w:rFonts w:ascii="Times New Roman" w:eastAsia="Calibri" w:hAnsi="Times New Roman" w:cs="Times New Roman"/>
          <w:sz w:val="28"/>
          <w:szCs w:val="28"/>
        </w:rPr>
        <w:t>Солигаличском</w:t>
      </w:r>
      <w:proofErr w:type="spellEnd"/>
      <w:r w:rsidRPr="00DD2B13">
        <w:rPr>
          <w:rFonts w:ascii="Times New Roman" w:eastAsia="Calibri" w:hAnsi="Times New Roman" w:cs="Times New Roman"/>
          <w:sz w:val="28"/>
          <w:szCs w:val="28"/>
        </w:rPr>
        <w:t xml:space="preserve"> и  Чухломском районах. </w:t>
      </w:r>
    </w:p>
    <w:p w:rsidR="00A90E5A" w:rsidRPr="002916AD" w:rsidRDefault="00A90E5A" w:rsidP="00A90E5A">
      <w:pPr>
        <w:spacing w:after="0" w:line="240" w:lineRule="auto"/>
        <w:ind w:firstLine="566"/>
        <w:jc w:val="right"/>
        <w:rPr>
          <w:rFonts w:ascii="Times New Roman" w:hAnsi="Times New Roman"/>
          <w:sz w:val="28"/>
          <w:szCs w:val="28"/>
        </w:rPr>
      </w:pPr>
      <w:r w:rsidRPr="002916AD">
        <w:rPr>
          <w:rFonts w:ascii="Times New Roman" w:hAnsi="Times New Roman"/>
          <w:sz w:val="28"/>
          <w:szCs w:val="28"/>
        </w:rPr>
        <w:t xml:space="preserve">Таблица № </w:t>
      </w:r>
      <w:r w:rsidR="001D5A61" w:rsidRPr="002916AD">
        <w:rPr>
          <w:rFonts w:ascii="Times New Roman" w:hAnsi="Times New Roman"/>
          <w:sz w:val="28"/>
          <w:szCs w:val="28"/>
        </w:rPr>
        <w:t>10</w:t>
      </w:r>
    </w:p>
    <w:p w:rsidR="00A90E5A" w:rsidRPr="002916AD" w:rsidRDefault="00A90E5A" w:rsidP="00A9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AD">
        <w:rPr>
          <w:rFonts w:ascii="Times New Roman" w:hAnsi="Times New Roman"/>
          <w:b/>
          <w:sz w:val="28"/>
          <w:szCs w:val="28"/>
        </w:rPr>
        <w:t xml:space="preserve">Показатели, характеризующие частоту острых отравлений </w:t>
      </w:r>
    </w:p>
    <w:p w:rsidR="00A90E5A" w:rsidRPr="002916AD" w:rsidRDefault="00A90E5A" w:rsidP="00A9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AD">
        <w:rPr>
          <w:rFonts w:ascii="Times New Roman" w:hAnsi="Times New Roman"/>
          <w:b/>
          <w:sz w:val="28"/>
          <w:szCs w:val="28"/>
        </w:rPr>
        <w:t xml:space="preserve">спиртосодержащей продукцией по административным территориям </w:t>
      </w:r>
    </w:p>
    <w:p w:rsidR="00A90E5A" w:rsidRPr="002916AD" w:rsidRDefault="00A90E5A" w:rsidP="00A9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AD">
        <w:rPr>
          <w:rFonts w:ascii="Times New Roman" w:hAnsi="Times New Roman"/>
          <w:b/>
          <w:sz w:val="28"/>
          <w:szCs w:val="28"/>
        </w:rPr>
        <w:t>Костромской области за 20</w:t>
      </w:r>
      <w:r w:rsidR="008D6997">
        <w:rPr>
          <w:rFonts w:ascii="Times New Roman" w:hAnsi="Times New Roman"/>
          <w:b/>
          <w:sz w:val="28"/>
          <w:szCs w:val="28"/>
        </w:rPr>
        <w:t>18</w:t>
      </w:r>
      <w:r w:rsidRPr="002916AD">
        <w:rPr>
          <w:rFonts w:ascii="Times New Roman" w:hAnsi="Times New Roman"/>
          <w:b/>
          <w:sz w:val="28"/>
          <w:szCs w:val="28"/>
        </w:rPr>
        <w:t>-201</w:t>
      </w:r>
      <w:r w:rsidR="008D6997">
        <w:rPr>
          <w:rFonts w:ascii="Times New Roman" w:hAnsi="Times New Roman"/>
          <w:b/>
          <w:sz w:val="28"/>
          <w:szCs w:val="28"/>
        </w:rPr>
        <w:t>9</w:t>
      </w:r>
      <w:r w:rsidRPr="002916AD">
        <w:rPr>
          <w:rFonts w:ascii="Times New Roman" w:hAnsi="Times New Roman"/>
          <w:b/>
          <w:sz w:val="28"/>
          <w:szCs w:val="28"/>
        </w:rPr>
        <w:t>гг. (на 100 тысяч населения)</w:t>
      </w:r>
    </w:p>
    <w:p w:rsidR="00A90E5A" w:rsidRPr="00700786" w:rsidRDefault="00A90E5A" w:rsidP="00A90E5A">
      <w:pPr>
        <w:spacing w:after="0" w:line="240" w:lineRule="auto"/>
        <w:ind w:firstLine="569"/>
        <w:jc w:val="center"/>
        <w:rPr>
          <w:rFonts w:ascii="Times New Roman" w:hAnsi="Times New Roman"/>
          <w:bCs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709"/>
        <w:gridCol w:w="708"/>
        <w:gridCol w:w="993"/>
        <w:gridCol w:w="992"/>
        <w:gridCol w:w="1133"/>
        <w:gridCol w:w="709"/>
        <w:gridCol w:w="992"/>
        <w:gridCol w:w="851"/>
        <w:gridCol w:w="993"/>
      </w:tblGrid>
      <w:tr w:rsidR="008D6997" w:rsidRPr="008D6997" w:rsidTr="0054653B">
        <w:trPr>
          <w:cantSplit/>
          <w:trHeight w:val="230"/>
        </w:trPr>
        <w:tc>
          <w:tcPr>
            <w:tcW w:w="2709" w:type="dxa"/>
            <w:shd w:val="clear" w:color="auto" w:fill="FFFFFF"/>
            <w:vAlign w:val="bottom"/>
          </w:tcPr>
          <w:p w:rsidR="008D6997" w:rsidRPr="008D6997" w:rsidRDefault="008D6997" w:rsidP="00546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shd w:val="clear" w:color="auto" w:fill="FFFFFF"/>
            <w:vAlign w:val="bottom"/>
          </w:tcPr>
          <w:p w:rsidR="008D6997" w:rsidRPr="008D6997" w:rsidRDefault="008D6997" w:rsidP="00546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545" w:type="dxa"/>
            <w:gridSpan w:val="4"/>
            <w:shd w:val="clear" w:color="auto" w:fill="FFFFFF"/>
            <w:vAlign w:val="bottom"/>
          </w:tcPr>
          <w:p w:rsidR="008D6997" w:rsidRPr="008D6997" w:rsidRDefault="008D6997" w:rsidP="00546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8D6997" w:rsidRPr="008D6997" w:rsidTr="0054653B">
        <w:trPr>
          <w:cantSplit/>
          <w:trHeight w:val="170"/>
        </w:trPr>
        <w:tc>
          <w:tcPr>
            <w:tcW w:w="2709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на 100 тыс.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леталь-ным</w:t>
            </w:r>
            <w:proofErr w:type="spellEnd"/>
            <w:proofErr w:type="gramEnd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 xml:space="preserve"> исх.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на 100 тыс.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. число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на 100 тыс.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леталь-ным</w:t>
            </w:r>
            <w:proofErr w:type="spellEnd"/>
            <w:proofErr w:type="gramEnd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 xml:space="preserve"> исх.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D6997" w:rsidRPr="008D6997" w:rsidRDefault="008D6997" w:rsidP="0054653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на 100 тыс.</w:t>
            </w:r>
          </w:p>
        </w:tc>
      </w:tr>
      <w:tr w:rsidR="008D6997" w:rsidRPr="008D6997" w:rsidTr="008D6997">
        <w:trPr>
          <w:trHeight w:val="317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13,34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Волгореченск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Антроповский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122,29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122,29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</w:t>
            </w:r>
            <w:proofErr w:type="gram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уй и </w:t>
            </w:r>
            <w:proofErr w:type="spell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Буйский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Вохомский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алич и Галичский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Кадыйский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Кологривский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27,63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23,38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Макарьевский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антурово</w:t>
            </w:r>
            <w:proofErr w:type="spellEnd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Мантуровский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Межевской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57,05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28,52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Нейский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Нерехтский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21,82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21,82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Островский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Павинский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Парфеньевский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54,63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36,42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Поназыревский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Пыщугский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Солигаличский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Судиславский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Сусанинский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30,53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арья и </w:t>
            </w:r>
            <w:proofErr w:type="spellStart"/>
            <w:r w:rsidRPr="008D6997">
              <w:rPr>
                <w:rFonts w:ascii="Times New Roman" w:hAnsi="Times New Roman" w:cs="Times New Roman"/>
                <w:bCs/>
                <w:sz w:val="20"/>
                <w:szCs w:val="20"/>
              </w:rPr>
              <w:t>Шарьинский</w:t>
            </w:r>
            <w:proofErr w:type="spellEnd"/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6997" w:rsidRPr="008D6997" w:rsidTr="0054653B">
        <w:trPr>
          <w:trHeight w:val="340"/>
        </w:trPr>
        <w:tc>
          <w:tcPr>
            <w:tcW w:w="2709" w:type="dxa"/>
            <w:shd w:val="clear" w:color="auto" w:fill="FFFFFF"/>
            <w:vAlign w:val="bottom"/>
            <w:hideMark/>
          </w:tcPr>
          <w:p w:rsidR="008D6997" w:rsidRPr="008D6997" w:rsidRDefault="008D6997" w:rsidP="00546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Костромская область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3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12,08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6997" w:rsidRPr="008D6997" w:rsidRDefault="008D6997" w:rsidP="00546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97">
              <w:rPr>
                <w:rFonts w:ascii="Times New Roman" w:hAnsi="Times New Roman" w:cs="Times New Roman"/>
                <w:b/>
                <w:sz w:val="20"/>
                <w:szCs w:val="20"/>
              </w:rPr>
              <w:t>8,63</w:t>
            </w:r>
          </w:p>
        </w:tc>
      </w:tr>
    </w:tbl>
    <w:p w:rsidR="00A90E5A" w:rsidRPr="00700786" w:rsidRDefault="00A90E5A" w:rsidP="008D6997">
      <w:pPr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90E5A" w:rsidRPr="002916AD" w:rsidRDefault="006E5F74" w:rsidP="00A90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916AD">
        <w:rPr>
          <w:rFonts w:ascii="Times New Roman" w:hAnsi="Times New Roman"/>
          <w:sz w:val="28"/>
          <w:szCs w:val="24"/>
        </w:rPr>
        <w:t>В</w:t>
      </w:r>
      <w:r w:rsidR="00A90E5A" w:rsidRPr="002916AD">
        <w:rPr>
          <w:rFonts w:ascii="Times New Roman" w:hAnsi="Times New Roman"/>
          <w:sz w:val="28"/>
          <w:szCs w:val="24"/>
        </w:rPr>
        <w:t xml:space="preserve"> 4-х административных территориях (г</w:t>
      </w:r>
      <w:proofErr w:type="gramStart"/>
      <w:r w:rsidR="00A90E5A" w:rsidRPr="002916AD">
        <w:rPr>
          <w:rFonts w:ascii="Times New Roman" w:hAnsi="Times New Roman"/>
          <w:sz w:val="28"/>
          <w:szCs w:val="24"/>
        </w:rPr>
        <w:t>.Ш</w:t>
      </w:r>
      <w:proofErr w:type="gramEnd"/>
      <w:r w:rsidR="00A90E5A" w:rsidRPr="002916AD">
        <w:rPr>
          <w:rFonts w:ascii="Times New Roman" w:hAnsi="Times New Roman"/>
          <w:sz w:val="28"/>
          <w:szCs w:val="24"/>
        </w:rPr>
        <w:t xml:space="preserve">арья, г.Нея и </w:t>
      </w:r>
      <w:proofErr w:type="spellStart"/>
      <w:r w:rsidR="00A90E5A" w:rsidRPr="002916AD">
        <w:rPr>
          <w:rFonts w:ascii="Times New Roman" w:hAnsi="Times New Roman"/>
          <w:sz w:val="28"/>
          <w:szCs w:val="24"/>
        </w:rPr>
        <w:t>Нейский</w:t>
      </w:r>
      <w:proofErr w:type="spellEnd"/>
      <w:r w:rsidR="00A90E5A" w:rsidRPr="002916AD">
        <w:rPr>
          <w:rFonts w:ascii="Times New Roman" w:hAnsi="Times New Roman"/>
          <w:sz w:val="28"/>
          <w:szCs w:val="24"/>
        </w:rPr>
        <w:t xml:space="preserve"> районе, г.Нерехта и </w:t>
      </w:r>
      <w:proofErr w:type="spellStart"/>
      <w:r w:rsidR="00A90E5A" w:rsidRPr="002916AD">
        <w:rPr>
          <w:rFonts w:ascii="Times New Roman" w:hAnsi="Times New Roman"/>
          <w:sz w:val="28"/>
          <w:szCs w:val="24"/>
        </w:rPr>
        <w:t>Нерехтский</w:t>
      </w:r>
      <w:proofErr w:type="spellEnd"/>
      <w:r w:rsidR="00A90E5A" w:rsidRPr="002916AD">
        <w:rPr>
          <w:rFonts w:ascii="Times New Roman" w:hAnsi="Times New Roman"/>
          <w:sz w:val="28"/>
          <w:szCs w:val="24"/>
        </w:rPr>
        <w:t xml:space="preserve"> район, Костромской район</w:t>
      </w:r>
      <w:r w:rsidR="00A90E5A" w:rsidRPr="008456B3">
        <w:rPr>
          <w:rFonts w:ascii="Times New Roman" w:hAnsi="Times New Roman"/>
          <w:sz w:val="28"/>
          <w:szCs w:val="24"/>
        </w:rPr>
        <w:t>)  (табл. №</w:t>
      </w:r>
      <w:r w:rsidR="008456B3" w:rsidRPr="008456B3">
        <w:rPr>
          <w:rFonts w:ascii="Times New Roman" w:hAnsi="Times New Roman"/>
          <w:sz w:val="28"/>
          <w:szCs w:val="24"/>
        </w:rPr>
        <w:t xml:space="preserve"> 10</w:t>
      </w:r>
      <w:r w:rsidR="00A90E5A" w:rsidRPr="008456B3">
        <w:rPr>
          <w:rFonts w:ascii="Times New Roman" w:hAnsi="Times New Roman"/>
          <w:sz w:val="28"/>
          <w:szCs w:val="24"/>
        </w:rPr>
        <w:t>)</w:t>
      </w:r>
      <w:r w:rsidR="00A90E5A" w:rsidRPr="002916AD">
        <w:rPr>
          <w:rFonts w:ascii="Times New Roman" w:hAnsi="Times New Roman"/>
          <w:sz w:val="28"/>
          <w:szCs w:val="24"/>
        </w:rPr>
        <w:t xml:space="preserve"> в сравнении с 2015г</w:t>
      </w:r>
      <w:r w:rsidRPr="002916AD">
        <w:rPr>
          <w:rFonts w:ascii="Times New Roman" w:hAnsi="Times New Roman"/>
          <w:sz w:val="28"/>
          <w:szCs w:val="24"/>
        </w:rPr>
        <w:t>одом</w:t>
      </w:r>
      <w:r w:rsidR="00A90E5A" w:rsidRPr="002916AD">
        <w:rPr>
          <w:rFonts w:ascii="Times New Roman" w:hAnsi="Times New Roman"/>
          <w:sz w:val="28"/>
          <w:szCs w:val="24"/>
        </w:rPr>
        <w:t xml:space="preserve"> отмечен рост количества отравлений спиртосодержащей продукцией. Вновь зарегистрированы отравления спиртосодержащей продукцией в </w:t>
      </w:r>
      <w:proofErr w:type="spellStart"/>
      <w:r w:rsidR="00A90E5A" w:rsidRPr="002916AD">
        <w:rPr>
          <w:rFonts w:ascii="Times New Roman" w:hAnsi="Times New Roman"/>
          <w:sz w:val="28"/>
          <w:szCs w:val="24"/>
        </w:rPr>
        <w:t>Мантуровском</w:t>
      </w:r>
      <w:proofErr w:type="spellEnd"/>
      <w:r w:rsidR="00A90E5A" w:rsidRPr="002916AD">
        <w:rPr>
          <w:rFonts w:ascii="Times New Roman" w:hAnsi="Times New Roman"/>
          <w:sz w:val="28"/>
          <w:szCs w:val="24"/>
        </w:rPr>
        <w:t xml:space="preserve"> районе.</w:t>
      </w:r>
    </w:p>
    <w:p w:rsidR="00A90E5A" w:rsidRPr="002916AD" w:rsidRDefault="00A90E5A" w:rsidP="00A90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8D6997" w:rsidRDefault="008D6997" w:rsidP="008D6997">
      <w:pPr>
        <w:jc w:val="center"/>
        <w:rPr>
          <w:b/>
          <w:sz w:val="28"/>
          <w:szCs w:val="28"/>
        </w:rPr>
      </w:pPr>
    </w:p>
    <w:p w:rsidR="008D6997" w:rsidRPr="008D6997" w:rsidRDefault="008D6997" w:rsidP="008D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7">
        <w:rPr>
          <w:rFonts w:ascii="Times New Roman" w:hAnsi="Times New Roman" w:cs="Times New Roman"/>
          <w:b/>
          <w:sz w:val="28"/>
          <w:szCs w:val="28"/>
        </w:rPr>
        <w:lastRenderedPageBreak/>
        <w:t>Показатель отравлений спиртсодержащей продукцией в 2018-2019 гг.                             на 100 тыс</w:t>
      </w:r>
      <w:proofErr w:type="gramStart"/>
      <w:r w:rsidRPr="008D699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D6997">
        <w:rPr>
          <w:rFonts w:ascii="Times New Roman" w:hAnsi="Times New Roman" w:cs="Times New Roman"/>
          <w:b/>
          <w:sz w:val="28"/>
          <w:szCs w:val="28"/>
        </w:rPr>
        <w:t>аселения в сравнении со средне областным</w:t>
      </w:r>
    </w:p>
    <w:p w:rsidR="00A90E5A" w:rsidRDefault="008D6997" w:rsidP="008D69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12307" cy="3365977"/>
            <wp:effectExtent l="19050" t="0" r="16993" b="5873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A61" w:rsidRPr="002916AD" w:rsidRDefault="001D5A61" w:rsidP="002916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916AD">
        <w:rPr>
          <w:rFonts w:ascii="Times New Roman" w:hAnsi="Times New Roman"/>
          <w:b/>
          <w:sz w:val="24"/>
          <w:szCs w:val="24"/>
        </w:rPr>
        <w:t>Рис. 10</w:t>
      </w:r>
      <w:r w:rsidRPr="002916AD">
        <w:rPr>
          <w:rFonts w:ascii="Times New Roman" w:hAnsi="Times New Roman"/>
          <w:sz w:val="24"/>
          <w:szCs w:val="24"/>
        </w:rPr>
        <w:t xml:space="preserve"> Количество отравлений спиртосодержащей продукцией по административным территориям Костромской области в 201</w:t>
      </w:r>
      <w:r w:rsidR="008D6997">
        <w:rPr>
          <w:rFonts w:ascii="Times New Roman" w:hAnsi="Times New Roman"/>
          <w:sz w:val="24"/>
          <w:szCs w:val="24"/>
        </w:rPr>
        <w:t>8-2019 гг.</w:t>
      </w:r>
    </w:p>
    <w:p w:rsidR="001D5A61" w:rsidRDefault="001D5A61" w:rsidP="002916AD">
      <w:pPr>
        <w:spacing w:after="0" w:line="240" w:lineRule="auto"/>
        <w:rPr>
          <w:rFonts w:ascii="Times New Roman" w:hAnsi="Times New Roman"/>
        </w:rPr>
      </w:pPr>
    </w:p>
    <w:p w:rsidR="00223B77" w:rsidRDefault="00223B77" w:rsidP="008D130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6997" w:rsidRPr="008D6997" w:rsidRDefault="008D6997" w:rsidP="008D6997">
      <w:pPr>
        <w:spacing w:before="120" w:after="120" w:line="312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7">
        <w:rPr>
          <w:rFonts w:ascii="Times New Roman" w:hAnsi="Times New Roman" w:cs="Times New Roman"/>
          <w:b/>
          <w:sz w:val="28"/>
          <w:szCs w:val="28"/>
        </w:rPr>
        <w:t>Отравления другими веществами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16"/>
        <w:gridCol w:w="518"/>
        <w:gridCol w:w="665"/>
        <w:gridCol w:w="718"/>
        <w:gridCol w:w="836"/>
        <w:gridCol w:w="474"/>
        <w:gridCol w:w="709"/>
        <w:gridCol w:w="575"/>
        <w:gridCol w:w="284"/>
        <w:gridCol w:w="575"/>
        <w:gridCol w:w="575"/>
        <w:gridCol w:w="575"/>
        <w:gridCol w:w="676"/>
        <w:gridCol w:w="576"/>
      </w:tblGrid>
      <w:tr w:rsidR="008D6997" w:rsidRPr="008D6997" w:rsidTr="0054653B">
        <w:trPr>
          <w:trHeight w:val="351"/>
        </w:trPr>
        <w:tc>
          <w:tcPr>
            <w:tcW w:w="1951" w:type="dxa"/>
            <w:vMerge w:val="restart"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8D6997" w:rsidRPr="008D6997" w:rsidRDefault="008D6997" w:rsidP="0054653B">
            <w:pPr>
              <w:rPr>
                <w:rFonts w:ascii="Times New Roman" w:hAnsi="Times New Roman" w:cs="Times New Roman"/>
              </w:rPr>
            </w:pPr>
          </w:p>
          <w:p w:rsidR="008D6997" w:rsidRPr="008D6997" w:rsidRDefault="008D6997" w:rsidP="0054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1758" w:type="dxa"/>
            <w:gridSpan w:val="3"/>
            <w:vMerge w:val="restart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Детское население                         (0-14 лет)</w:t>
            </w:r>
          </w:p>
        </w:tc>
        <w:tc>
          <w:tcPr>
            <w:tcW w:w="1434" w:type="dxa"/>
            <w:gridSpan w:val="3"/>
            <w:vMerge w:val="restart"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Подростковое население                     (15-17 лет)</w:t>
            </w:r>
          </w:p>
        </w:tc>
        <w:tc>
          <w:tcPr>
            <w:tcW w:w="1827" w:type="dxa"/>
            <w:gridSpan w:val="3"/>
            <w:vMerge w:val="restart"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Взрослое население               (18 лет и старше)</w:t>
            </w:r>
          </w:p>
        </w:tc>
      </w:tr>
      <w:tr w:rsidR="008D6997" w:rsidRPr="008D6997" w:rsidTr="0054653B">
        <w:trPr>
          <w:trHeight w:val="355"/>
        </w:trPr>
        <w:tc>
          <w:tcPr>
            <w:tcW w:w="1951" w:type="dxa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 xml:space="preserve">В с е </w:t>
            </w:r>
            <w:proofErr w:type="gramStart"/>
            <w:r w:rsidRPr="008D6997">
              <w:rPr>
                <w:rFonts w:ascii="Times New Roman" w:hAnsi="Times New Roman" w:cs="Times New Roman"/>
              </w:rPr>
              <w:t>г</w:t>
            </w:r>
            <w:proofErr w:type="gramEnd"/>
            <w:r w:rsidRPr="008D6997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 xml:space="preserve">%  в </w:t>
            </w:r>
            <w:proofErr w:type="spellStart"/>
            <w:proofErr w:type="gramStart"/>
            <w:r w:rsidRPr="008D6997">
              <w:rPr>
                <w:rFonts w:ascii="Times New Roman" w:hAnsi="Times New Roman" w:cs="Times New Roman"/>
              </w:rPr>
              <w:t>струк-туре</w:t>
            </w:r>
            <w:proofErr w:type="spellEnd"/>
            <w:proofErr w:type="gramEnd"/>
            <w:r w:rsidRPr="008D6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997">
              <w:rPr>
                <w:rFonts w:ascii="Times New Roman" w:hAnsi="Times New Roman" w:cs="Times New Roman"/>
              </w:rPr>
              <w:t>отрав-лений</w:t>
            </w:r>
            <w:proofErr w:type="spellEnd"/>
          </w:p>
        </w:tc>
        <w:tc>
          <w:tcPr>
            <w:tcW w:w="1758" w:type="dxa"/>
            <w:gridSpan w:val="3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997" w:rsidRPr="008D6997" w:rsidTr="0054653B">
        <w:trPr>
          <w:cantSplit/>
          <w:trHeight w:val="1287"/>
        </w:trPr>
        <w:tc>
          <w:tcPr>
            <w:tcW w:w="1951" w:type="dxa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997">
              <w:rPr>
                <w:rFonts w:ascii="Times New Roman" w:hAnsi="Times New Roman" w:cs="Times New Roman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на 100 тыс.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60" w:lineRule="exact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 xml:space="preserve">из них    с </w:t>
            </w:r>
            <w:proofErr w:type="spellStart"/>
            <w:proofErr w:type="gramStart"/>
            <w:r w:rsidRPr="008D6997">
              <w:rPr>
                <w:rFonts w:ascii="Times New Roman" w:hAnsi="Times New Roman" w:cs="Times New Roman"/>
              </w:rPr>
              <w:t>леталь-ным</w:t>
            </w:r>
            <w:proofErr w:type="spellEnd"/>
            <w:proofErr w:type="gramEnd"/>
            <w:r w:rsidRPr="008D6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997">
              <w:rPr>
                <w:rFonts w:ascii="Times New Roman" w:hAnsi="Times New Roman" w:cs="Times New Roman"/>
              </w:rPr>
              <w:t>исхо-дом</w:t>
            </w:r>
            <w:proofErr w:type="spellEnd"/>
          </w:p>
        </w:tc>
        <w:tc>
          <w:tcPr>
            <w:tcW w:w="836" w:type="dxa"/>
            <w:vMerge/>
            <w:shd w:val="clear" w:color="auto" w:fill="auto"/>
            <w:textDirection w:val="btL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997">
              <w:rPr>
                <w:rFonts w:ascii="Times New Roman" w:hAnsi="Times New Roman" w:cs="Times New Roman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на 100 тыс.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с летальным исходом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997">
              <w:rPr>
                <w:rFonts w:ascii="Times New Roman" w:hAnsi="Times New Roman" w:cs="Times New Roman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на 100 тыс.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с летальным исходом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997">
              <w:rPr>
                <w:rFonts w:ascii="Times New Roman" w:hAnsi="Times New Roman" w:cs="Times New Roman"/>
              </w:rPr>
              <w:t>абс</w:t>
            </w:r>
            <w:proofErr w:type="spellEnd"/>
            <w:r w:rsidRPr="008D6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на 100 тыс.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8D6997" w:rsidRPr="008D6997" w:rsidRDefault="008D6997" w:rsidP="0054653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с летальным исходом</w:t>
            </w:r>
          </w:p>
        </w:tc>
      </w:tr>
      <w:tr w:rsidR="008D6997" w:rsidRPr="008D6997" w:rsidTr="0054653B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Прочие отравления (товарами бытового назначения, угарным газом, уксусной кислотой, другими)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33,94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13</w:t>
            </w:r>
          </w:p>
        </w:tc>
      </w:tr>
      <w:tr w:rsidR="008D6997" w:rsidRPr="008D6997" w:rsidTr="0054653B">
        <w:trPr>
          <w:trHeight w:val="321"/>
        </w:trPr>
        <w:tc>
          <w:tcPr>
            <w:tcW w:w="1951" w:type="dxa"/>
            <w:vMerge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15</w:t>
            </w:r>
          </w:p>
        </w:tc>
      </w:tr>
      <w:tr w:rsidR="008D6997" w:rsidRPr="008D6997" w:rsidTr="0054653B">
        <w:trPr>
          <w:trHeight w:val="411"/>
        </w:trPr>
        <w:tc>
          <w:tcPr>
            <w:tcW w:w="1951" w:type="dxa"/>
            <w:vMerge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D6997" w:rsidRPr="008D6997" w:rsidRDefault="008D6997" w:rsidP="0054653B">
            <w:pPr>
              <w:spacing w:line="192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6997">
              <w:rPr>
                <w:rFonts w:ascii="Times New Roman" w:hAnsi="Times New Roman" w:cs="Times New Roman"/>
              </w:rPr>
              <w:t>7</w:t>
            </w:r>
          </w:p>
        </w:tc>
      </w:tr>
    </w:tbl>
    <w:p w:rsidR="008D6997" w:rsidRPr="008D6997" w:rsidRDefault="008D6997" w:rsidP="008D6997">
      <w:pPr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6997" w:rsidRPr="008D6997" w:rsidRDefault="008D6997" w:rsidP="008D699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9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9479" cy="3810255"/>
            <wp:effectExtent l="19050" t="0" r="10771" b="0"/>
            <wp:docPr id="7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6997" w:rsidRPr="008D6997" w:rsidRDefault="008D6997" w:rsidP="008D6997">
      <w:pPr>
        <w:spacing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6997" w:rsidRPr="008D6997" w:rsidRDefault="008D6997" w:rsidP="008D6997">
      <w:pPr>
        <w:spacing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6997">
        <w:rPr>
          <w:rFonts w:ascii="Times New Roman" w:hAnsi="Times New Roman" w:cs="Times New Roman"/>
          <w:sz w:val="28"/>
          <w:szCs w:val="28"/>
        </w:rPr>
        <w:t xml:space="preserve">Показатель отравлений товарами бытового назначения, угарным газом, уксусной кислотой, другими на 100 тыс. населения  8,63, в структуре отравлений 25,11% (в 2018 г. соответственно 10,57 и 26,47%). Отравления угарным газом  25,45%  (в 2018 г. 29%) и разъедающими веществами, в т.ч. уксусной кислотой – 18,18% (2018 г. - 15,9%) являются лидирующими в структуре других отравлений. Высоким остается процент отравлений другими </w:t>
      </w:r>
      <w:proofErr w:type="spellStart"/>
      <w:r w:rsidRPr="008D6997">
        <w:rPr>
          <w:rFonts w:ascii="Times New Roman" w:hAnsi="Times New Roman" w:cs="Times New Roman"/>
          <w:sz w:val="28"/>
          <w:szCs w:val="28"/>
        </w:rPr>
        <w:t>неуточненными</w:t>
      </w:r>
      <w:proofErr w:type="spellEnd"/>
      <w:r w:rsidRPr="008D6997">
        <w:rPr>
          <w:rFonts w:ascii="Times New Roman" w:hAnsi="Times New Roman" w:cs="Times New Roman"/>
          <w:sz w:val="28"/>
          <w:szCs w:val="28"/>
        </w:rPr>
        <w:t xml:space="preserve"> веществами 27,27% (в 2018 г. - 27,5%).</w:t>
      </w:r>
    </w:p>
    <w:p w:rsidR="00CF2A94" w:rsidRDefault="00CF2A94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2A94" w:rsidRDefault="00CF2A94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2A94" w:rsidRDefault="00CF2A94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2A94" w:rsidRDefault="00CF2A94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D6997" w:rsidRDefault="008D6997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2A94" w:rsidRDefault="00CF2A94" w:rsidP="00EE4CA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2A94" w:rsidRDefault="00CF2A94" w:rsidP="002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E5F74" w:rsidRPr="002916AD" w:rsidRDefault="006E5F74" w:rsidP="008D1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2A94" w:rsidRDefault="00CF2A94" w:rsidP="008D1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2A94" w:rsidRDefault="00CF2A94" w:rsidP="008D69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2A94" w:rsidRDefault="00CF2A94" w:rsidP="008D1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30D" w:rsidRPr="002916AD" w:rsidRDefault="008D130D" w:rsidP="008D1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16AD">
        <w:rPr>
          <w:rFonts w:ascii="Times New Roman" w:hAnsi="Times New Roman"/>
          <w:b/>
          <w:sz w:val="28"/>
          <w:szCs w:val="28"/>
        </w:rPr>
        <w:t>ЗАКЛЮЧЕНИЕ</w:t>
      </w:r>
    </w:p>
    <w:p w:rsidR="006E5F74" w:rsidRPr="002916AD" w:rsidRDefault="006E5F74" w:rsidP="008D13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3314" w:rsidRPr="002916AD" w:rsidRDefault="00CF2A9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Ситуация, связанная с</w:t>
      </w:r>
      <w:r w:rsidR="00923314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остры</w:t>
      </w:r>
      <w:r>
        <w:rPr>
          <w:rFonts w:ascii="Times New Roman" w:eastAsia="TimesNewRomanPSMT" w:hAnsi="Times New Roman" w:cs="Times New Roman"/>
          <w:sz w:val="28"/>
          <w:szCs w:val="28"/>
        </w:rPr>
        <w:t>ми</w:t>
      </w:r>
      <w:r w:rsidR="00923314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отравлени</w:t>
      </w:r>
      <w:r>
        <w:rPr>
          <w:rFonts w:ascii="Times New Roman" w:eastAsia="TimesNewRomanPSMT" w:hAnsi="Times New Roman" w:cs="Times New Roman"/>
          <w:sz w:val="28"/>
          <w:szCs w:val="28"/>
        </w:rPr>
        <w:t>ями</w:t>
      </w:r>
      <w:r w:rsidR="00923314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химической этиологии в быту </w:t>
      </w:r>
      <w:r w:rsidR="003149F1" w:rsidRPr="002916AD">
        <w:rPr>
          <w:rFonts w:ascii="Times New Roman" w:eastAsia="TimesNewRomanPSMT" w:hAnsi="Times New Roman" w:cs="Times New Roman"/>
          <w:sz w:val="28"/>
          <w:szCs w:val="28"/>
        </w:rPr>
        <w:t>оста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3149F1" w:rsidRPr="002916AD">
        <w:rPr>
          <w:rFonts w:ascii="Times New Roman" w:eastAsia="TimesNewRomanPSMT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NewRomanPSMT" w:hAnsi="Times New Roman" w:cs="Times New Roman"/>
          <w:sz w:val="28"/>
          <w:szCs w:val="28"/>
        </w:rPr>
        <w:t>напряженной, н</w:t>
      </w:r>
      <w:r w:rsidR="00923314" w:rsidRPr="002916AD">
        <w:rPr>
          <w:rFonts w:ascii="Times New Roman" w:eastAsia="TimesNewRomanPSMT" w:hAnsi="Times New Roman" w:cs="Times New Roman"/>
          <w:sz w:val="28"/>
          <w:szCs w:val="28"/>
        </w:rPr>
        <w:t>есмотря на снижение смертности от острых отравлений химической э</w:t>
      </w:r>
      <w:r w:rsidR="008D6997">
        <w:rPr>
          <w:rFonts w:ascii="Times New Roman" w:eastAsia="TimesNewRomanPSMT" w:hAnsi="Times New Roman" w:cs="Times New Roman"/>
          <w:sz w:val="28"/>
          <w:szCs w:val="28"/>
        </w:rPr>
        <w:t>тиологии среди населения в быту</w:t>
      </w:r>
      <w:r w:rsidR="00923314" w:rsidRPr="002916A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23314" w:rsidRPr="002916AD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916AD">
        <w:rPr>
          <w:rFonts w:ascii="Times New Roman" w:eastAsia="TimesNewRomanPSMT" w:hAnsi="Times New Roman" w:cs="Times New Roman"/>
          <w:sz w:val="28"/>
          <w:szCs w:val="28"/>
        </w:rPr>
        <w:t>В целях снижения уровня распространенности и смертности от острых отравлений химической этиологии среди населения в быту и их профилактике, особенно у детей и подростков рекомендовать:</w:t>
      </w:r>
    </w:p>
    <w:p w:rsidR="00923314" w:rsidRPr="002916AD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916A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1. 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Главам </w:t>
      </w:r>
      <w:r w:rsidR="002916AD" w:rsidRPr="002916A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городских округов и 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администраций </w:t>
      </w:r>
      <w:r w:rsidR="002916AD" w:rsidRPr="002916A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муниципальных образований </w:t>
      </w:r>
      <w:r w:rsidRPr="002916A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Костромской области</w:t>
      </w:r>
      <w:r w:rsidRPr="002916AD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923314" w:rsidRPr="002916AD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1.1. рассмотреть вопросы о состоянии распространенности на территории </w:t>
      </w:r>
      <w:r w:rsidR="002916AD" w:rsidRPr="002916AD">
        <w:rPr>
          <w:rFonts w:ascii="Times New Roman" w:eastAsia="TimesNewRomanPSMT" w:hAnsi="Times New Roman" w:cs="Times New Roman"/>
          <w:sz w:val="28"/>
          <w:szCs w:val="28"/>
        </w:rPr>
        <w:t xml:space="preserve">городских округов и муниципальных образований 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>острых отравлений химической этиологи</w:t>
      </w:r>
      <w:r w:rsidR="006A0905" w:rsidRPr="002916AD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 xml:space="preserve"> среди населения </w:t>
      </w:r>
      <w:r w:rsidR="006A0905" w:rsidRPr="002916AD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>быту, особенно среди детей и подростков, состоянии здоровья и смертности населения от</w:t>
      </w:r>
      <w:r w:rsidR="00717E22" w:rsidRPr="00291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916AD">
        <w:rPr>
          <w:rFonts w:ascii="Times New Roman" w:eastAsia="TimesNewRomanPSMT" w:hAnsi="Times New Roman" w:cs="Times New Roman"/>
          <w:sz w:val="28"/>
          <w:szCs w:val="28"/>
        </w:rPr>
        <w:t>причин, связанных с употреблением алкоголя, наркотиков, галлюциногенов, о состоянии оборота алкогольной продукции и спиртосодержащих жидкостей;</w:t>
      </w:r>
    </w:p>
    <w:p w:rsidR="00923314" w:rsidRPr="002916AD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916AD">
        <w:rPr>
          <w:rFonts w:ascii="Times New Roman" w:eastAsia="TimesNewRomanPSMT" w:hAnsi="Times New Roman" w:cs="Times New Roman"/>
          <w:sz w:val="28"/>
          <w:szCs w:val="28"/>
        </w:rPr>
        <w:t>1.2. разработать и реализовать мероприятия по снижению уровня острых отравлений химической этиологии среди населения в быту и смертности от них, уделив особое внимание детям и подросткам (организация досуга населения, появление новых рабочих мест, активная пропаганда здорового образа жизни в школах, на предприятиях, в средст</w:t>
      </w:r>
      <w:r w:rsidR="006A0905" w:rsidRPr="002916AD">
        <w:rPr>
          <w:rFonts w:ascii="Times New Roman" w:eastAsia="TimesNewRomanPSMT" w:hAnsi="Times New Roman" w:cs="Times New Roman"/>
          <w:sz w:val="28"/>
          <w:szCs w:val="28"/>
        </w:rPr>
        <w:t>вах массовой информации и т.д.).</w:t>
      </w:r>
    </w:p>
    <w:p w:rsidR="00923314" w:rsidRPr="006A0905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2. Для </w:t>
      </w:r>
      <w:r w:rsidRPr="008456B3">
        <w:rPr>
          <w:rFonts w:ascii="Times New Roman" w:eastAsia="TimesNewRomanPSMT" w:hAnsi="Times New Roman" w:cs="Times New Roman"/>
          <w:sz w:val="28"/>
          <w:szCs w:val="28"/>
        </w:rPr>
        <w:t xml:space="preserve">достижения большей </w:t>
      </w: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достоверности статистических данных рекомендовать </w:t>
      </w:r>
      <w:r w:rsidRPr="006A0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главным врачам </w:t>
      </w:r>
      <w:r w:rsidR="006A0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мед</w:t>
      </w:r>
      <w:r w:rsidR="00DE213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ицинских </w:t>
      </w:r>
      <w:r w:rsidRPr="00464CC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учреждений здравоохранения</w:t>
      </w:r>
      <w:r w:rsidRPr="006A0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6A0905">
        <w:rPr>
          <w:rFonts w:ascii="Times New Roman" w:eastAsia="TimesNewRomanPSMT" w:hAnsi="Times New Roman" w:cs="Times New Roman"/>
          <w:sz w:val="28"/>
          <w:szCs w:val="28"/>
        </w:rPr>
        <w:t>независимо от форм собственности обеспечить:</w:t>
      </w:r>
    </w:p>
    <w:p w:rsidR="00923314" w:rsidRPr="006A0905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>2.1. своевременное заполнение экстренных извещений на каждый случай острых отравлений химической этиологии среди населения в быту по учетной форме 58-1/у «Экстренное извещение о случае острого отравления химической этиологии» и в соответствии с инструкцией по заполнению учетной формы;</w:t>
      </w:r>
    </w:p>
    <w:p w:rsidR="00923314" w:rsidRPr="006A0905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2.2. </w:t>
      </w:r>
      <w:r w:rsidR="006E5F74" w:rsidRPr="003126D7">
        <w:rPr>
          <w:rFonts w:ascii="Times New Roman" w:eastAsia="TimesNewRomanPSMT" w:hAnsi="Times New Roman" w:cs="Times New Roman"/>
          <w:sz w:val="28"/>
          <w:szCs w:val="28"/>
        </w:rPr>
        <w:t xml:space="preserve">своевременную </w:t>
      </w:r>
      <w:r w:rsidRPr="003126D7">
        <w:rPr>
          <w:rFonts w:ascii="Times New Roman" w:eastAsia="TimesNewRomanPSMT" w:hAnsi="Times New Roman" w:cs="Times New Roman"/>
          <w:sz w:val="28"/>
          <w:szCs w:val="28"/>
        </w:rPr>
        <w:t>передачу</w:t>
      </w: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 экстренных извещений в ФБУЗ «Центр гигиены и эпидемиологии в Костромской области» в строгом соответствии с Порядком учета и расследования случаев острых отравлений химической этиологии в быту.</w:t>
      </w:r>
    </w:p>
    <w:p w:rsidR="00923314" w:rsidRPr="006A0905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3. Рекомендовать </w:t>
      </w:r>
      <w:r w:rsidRPr="006A0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Департаменту здравоохранения Костромской области</w:t>
      </w:r>
      <w:r w:rsidRPr="006A0905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923314" w:rsidRPr="006A0905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3.1. </w:t>
      </w:r>
      <w:r w:rsidR="006A0905">
        <w:rPr>
          <w:rFonts w:ascii="Times New Roman" w:eastAsia="TimesNewRomanPSMT" w:hAnsi="Times New Roman" w:cs="Times New Roman"/>
          <w:sz w:val="28"/>
          <w:szCs w:val="28"/>
        </w:rPr>
        <w:t xml:space="preserve">обеспечить контроль по исполнению </w:t>
      </w:r>
      <w:r w:rsidR="003126D7">
        <w:rPr>
          <w:rFonts w:ascii="Times New Roman" w:eastAsia="TimesNewRomanPSMT" w:hAnsi="Times New Roman" w:cs="Times New Roman"/>
          <w:sz w:val="28"/>
          <w:szCs w:val="28"/>
        </w:rPr>
        <w:t>приказа от 01.06.2016 № 61-од/406 «О совершенствовании системы токсикологического мониторинга на территории Костромской области»</w:t>
      </w:r>
      <w:r w:rsidRPr="006A090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15161" w:rsidRPr="003126D7" w:rsidRDefault="00923314" w:rsidP="006A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0905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6E5F74" w:rsidRPr="003126D7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3126D7">
        <w:rPr>
          <w:rFonts w:ascii="Times New Roman" w:eastAsia="TimesNewRomanPSMT" w:hAnsi="Times New Roman" w:cs="Times New Roman"/>
          <w:sz w:val="28"/>
          <w:szCs w:val="28"/>
        </w:rPr>
        <w:t>екомендовать Департаменту образования</w:t>
      </w:r>
      <w:r w:rsidR="003126D7" w:rsidRPr="003126D7">
        <w:rPr>
          <w:rFonts w:ascii="Times New Roman" w:eastAsia="TimesNewRomanPSMT" w:hAnsi="Times New Roman" w:cs="Times New Roman"/>
          <w:sz w:val="28"/>
          <w:szCs w:val="28"/>
        </w:rPr>
        <w:t xml:space="preserve"> и науки Костромской области</w:t>
      </w:r>
      <w:r w:rsidRPr="003126D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3126D7" w:rsidRPr="003126D7">
        <w:rPr>
          <w:rFonts w:ascii="Times New Roman" w:eastAsia="TimesNewRomanPSMT" w:hAnsi="Times New Roman" w:cs="Times New Roman"/>
          <w:sz w:val="28"/>
          <w:szCs w:val="28"/>
        </w:rPr>
        <w:t>Департаменту культуры Костромской области</w:t>
      </w:r>
      <w:r w:rsidRPr="003126D7">
        <w:rPr>
          <w:rFonts w:ascii="Times New Roman" w:eastAsia="TimesNewRomanPSMT" w:hAnsi="Times New Roman" w:cs="Times New Roman"/>
          <w:sz w:val="28"/>
          <w:szCs w:val="28"/>
        </w:rPr>
        <w:t xml:space="preserve"> шире вовлекать школьников в различные культурно-спортивные учреждения, в массовые мероприятия с целью пропаганды здорового, безопасного образа жизни.</w:t>
      </w:r>
    </w:p>
    <w:sectPr w:rsidR="00015161" w:rsidRPr="003126D7" w:rsidSect="001C3E18">
      <w:footerReference w:type="default" r:id="rId19"/>
      <w:pgSz w:w="11906" w:h="16838"/>
      <w:pgMar w:top="993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DF" w:rsidRDefault="007503DF" w:rsidP="008808D8">
      <w:pPr>
        <w:spacing w:after="0" w:line="240" w:lineRule="auto"/>
      </w:pPr>
      <w:r>
        <w:separator/>
      </w:r>
    </w:p>
  </w:endnote>
  <w:endnote w:type="continuationSeparator" w:id="0">
    <w:p w:rsidR="007503DF" w:rsidRDefault="007503DF" w:rsidP="0088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955"/>
      <w:docPartObj>
        <w:docPartGallery w:val="Page Numbers (Bottom of Page)"/>
        <w:docPartUnique/>
      </w:docPartObj>
    </w:sdtPr>
    <w:sdtContent>
      <w:p w:rsidR="00334EA8" w:rsidRDefault="008404D6">
        <w:pPr>
          <w:pStyle w:val="ab"/>
          <w:jc w:val="center"/>
        </w:pPr>
        <w:fldSimple w:instr=" PAGE   \* MERGEFORMAT ">
          <w:r w:rsidR="008D6997">
            <w:rPr>
              <w:noProof/>
            </w:rPr>
            <w:t>20</w:t>
          </w:r>
        </w:fldSimple>
      </w:p>
    </w:sdtContent>
  </w:sdt>
  <w:p w:rsidR="00334EA8" w:rsidRDefault="00334E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DF" w:rsidRDefault="007503DF" w:rsidP="008808D8">
      <w:pPr>
        <w:spacing w:after="0" w:line="240" w:lineRule="auto"/>
      </w:pPr>
      <w:r>
        <w:separator/>
      </w:r>
    </w:p>
  </w:footnote>
  <w:footnote w:type="continuationSeparator" w:id="0">
    <w:p w:rsidR="007503DF" w:rsidRDefault="007503DF" w:rsidP="0088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D7"/>
    <w:multiLevelType w:val="hybridMultilevel"/>
    <w:tmpl w:val="AC34CB32"/>
    <w:lvl w:ilvl="0" w:tplc="47620A3A">
      <w:numFmt w:val="bullet"/>
      <w:lvlText w:val="·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8A1"/>
    <w:multiLevelType w:val="hybridMultilevel"/>
    <w:tmpl w:val="4ED480C4"/>
    <w:lvl w:ilvl="0" w:tplc="2ED2B47A">
      <w:numFmt w:val="bullet"/>
      <w:lvlText w:val="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432F"/>
    <w:multiLevelType w:val="hybridMultilevel"/>
    <w:tmpl w:val="3B94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026"/>
    <w:multiLevelType w:val="multilevel"/>
    <w:tmpl w:val="507E4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9052444"/>
    <w:multiLevelType w:val="hybridMultilevel"/>
    <w:tmpl w:val="2EE6BB52"/>
    <w:lvl w:ilvl="0" w:tplc="554CC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A4205"/>
    <w:multiLevelType w:val="hybridMultilevel"/>
    <w:tmpl w:val="18DE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77"/>
    <w:rsid w:val="00015161"/>
    <w:rsid w:val="00054008"/>
    <w:rsid w:val="00064871"/>
    <w:rsid w:val="00067166"/>
    <w:rsid w:val="00082A17"/>
    <w:rsid w:val="00084849"/>
    <w:rsid w:val="00085F8B"/>
    <w:rsid w:val="000964D5"/>
    <w:rsid w:val="000A3FEA"/>
    <w:rsid w:val="000B0093"/>
    <w:rsid w:val="000E0AA9"/>
    <w:rsid w:val="000E287C"/>
    <w:rsid w:val="00157A43"/>
    <w:rsid w:val="001627E5"/>
    <w:rsid w:val="00167A44"/>
    <w:rsid w:val="001A4C76"/>
    <w:rsid w:val="001C2C6C"/>
    <w:rsid w:val="001C3E18"/>
    <w:rsid w:val="001C69B6"/>
    <w:rsid w:val="001D5A61"/>
    <w:rsid w:val="001D6D60"/>
    <w:rsid w:val="001E661E"/>
    <w:rsid w:val="00220A16"/>
    <w:rsid w:val="00223B77"/>
    <w:rsid w:val="0023105B"/>
    <w:rsid w:val="0025115D"/>
    <w:rsid w:val="002522F7"/>
    <w:rsid w:val="002916AD"/>
    <w:rsid w:val="002A5069"/>
    <w:rsid w:val="002A6B61"/>
    <w:rsid w:val="002C0416"/>
    <w:rsid w:val="002C71E1"/>
    <w:rsid w:val="003126D7"/>
    <w:rsid w:val="003149F1"/>
    <w:rsid w:val="00334EA8"/>
    <w:rsid w:val="0037267F"/>
    <w:rsid w:val="0038000A"/>
    <w:rsid w:val="003C0729"/>
    <w:rsid w:val="003D392D"/>
    <w:rsid w:val="0043047B"/>
    <w:rsid w:val="0043339D"/>
    <w:rsid w:val="00451C07"/>
    <w:rsid w:val="00464CCB"/>
    <w:rsid w:val="00484491"/>
    <w:rsid w:val="00490C5E"/>
    <w:rsid w:val="00493439"/>
    <w:rsid w:val="004D6BC9"/>
    <w:rsid w:val="004E10E2"/>
    <w:rsid w:val="004E3AD5"/>
    <w:rsid w:val="004E69C7"/>
    <w:rsid w:val="004F5DA8"/>
    <w:rsid w:val="00506193"/>
    <w:rsid w:val="00517148"/>
    <w:rsid w:val="00522E9D"/>
    <w:rsid w:val="00581257"/>
    <w:rsid w:val="0059568A"/>
    <w:rsid w:val="005C1EF1"/>
    <w:rsid w:val="005F434E"/>
    <w:rsid w:val="0060076B"/>
    <w:rsid w:val="00600E09"/>
    <w:rsid w:val="006164CF"/>
    <w:rsid w:val="0063443C"/>
    <w:rsid w:val="00641F49"/>
    <w:rsid w:val="006473E9"/>
    <w:rsid w:val="0065228B"/>
    <w:rsid w:val="00672A5A"/>
    <w:rsid w:val="006A0905"/>
    <w:rsid w:val="006A7E40"/>
    <w:rsid w:val="006B1777"/>
    <w:rsid w:val="006B1FFA"/>
    <w:rsid w:val="006D2FC5"/>
    <w:rsid w:val="006D497A"/>
    <w:rsid w:val="006E5F74"/>
    <w:rsid w:val="006F21AC"/>
    <w:rsid w:val="006F5C98"/>
    <w:rsid w:val="007030D2"/>
    <w:rsid w:val="00706B07"/>
    <w:rsid w:val="00717E22"/>
    <w:rsid w:val="007206AB"/>
    <w:rsid w:val="00737E5D"/>
    <w:rsid w:val="00744879"/>
    <w:rsid w:val="007503DF"/>
    <w:rsid w:val="00761761"/>
    <w:rsid w:val="00763334"/>
    <w:rsid w:val="007647DC"/>
    <w:rsid w:val="007B0996"/>
    <w:rsid w:val="007F1582"/>
    <w:rsid w:val="00801237"/>
    <w:rsid w:val="00812B81"/>
    <w:rsid w:val="008143D6"/>
    <w:rsid w:val="00824193"/>
    <w:rsid w:val="00826664"/>
    <w:rsid w:val="00832BCC"/>
    <w:rsid w:val="008404D6"/>
    <w:rsid w:val="008456B3"/>
    <w:rsid w:val="008670DC"/>
    <w:rsid w:val="008720B8"/>
    <w:rsid w:val="008808D8"/>
    <w:rsid w:val="00881D74"/>
    <w:rsid w:val="008A7916"/>
    <w:rsid w:val="008C468A"/>
    <w:rsid w:val="008D130D"/>
    <w:rsid w:val="008D617E"/>
    <w:rsid w:val="008D6997"/>
    <w:rsid w:val="00923314"/>
    <w:rsid w:val="00954E8D"/>
    <w:rsid w:val="00965E96"/>
    <w:rsid w:val="00973758"/>
    <w:rsid w:val="009845CE"/>
    <w:rsid w:val="009C4EB3"/>
    <w:rsid w:val="009D7F85"/>
    <w:rsid w:val="009E33D1"/>
    <w:rsid w:val="009F4DB1"/>
    <w:rsid w:val="00A239A8"/>
    <w:rsid w:val="00A45D37"/>
    <w:rsid w:val="00A52397"/>
    <w:rsid w:val="00A5752A"/>
    <w:rsid w:val="00A57B5E"/>
    <w:rsid w:val="00A600D1"/>
    <w:rsid w:val="00A64037"/>
    <w:rsid w:val="00A80B4C"/>
    <w:rsid w:val="00A90E5A"/>
    <w:rsid w:val="00A95B3F"/>
    <w:rsid w:val="00AB1419"/>
    <w:rsid w:val="00AC0F98"/>
    <w:rsid w:val="00AC365A"/>
    <w:rsid w:val="00AC4FCF"/>
    <w:rsid w:val="00AE1FFC"/>
    <w:rsid w:val="00AF0D04"/>
    <w:rsid w:val="00B014EB"/>
    <w:rsid w:val="00B064DA"/>
    <w:rsid w:val="00B3296E"/>
    <w:rsid w:val="00B53A4E"/>
    <w:rsid w:val="00B550B1"/>
    <w:rsid w:val="00B61AD2"/>
    <w:rsid w:val="00BA069A"/>
    <w:rsid w:val="00BB1516"/>
    <w:rsid w:val="00BB5D66"/>
    <w:rsid w:val="00BC498A"/>
    <w:rsid w:val="00BC65D3"/>
    <w:rsid w:val="00BD5C7E"/>
    <w:rsid w:val="00BF0317"/>
    <w:rsid w:val="00BF0E2B"/>
    <w:rsid w:val="00C04625"/>
    <w:rsid w:val="00C351F7"/>
    <w:rsid w:val="00C55A5E"/>
    <w:rsid w:val="00C64AD5"/>
    <w:rsid w:val="00C67141"/>
    <w:rsid w:val="00C77D38"/>
    <w:rsid w:val="00CA4F6B"/>
    <w:rsid w:val="00CC252B"/>
    <w:rsid w:val="00CE15AF"/>
    <w:rsid w:val="00CE47B1"/>
    <w:rsid w:val="00CE6366"/>
    <w:rsid w:val="00CF2A94"/>
    <w:rsid w:val="00D22A6D"/>
    <w:rsid w:val="00D238A5"/>
    <w:rsid w:val="00D53409"/>
    <w:rsid w:val="00D60077"/>
    <w:rsid w:val="00D72568"/>
    <w:rsid w:val="00D81CBE"/>
    <w:rsid w:val="00D85A58"/>
    <w:rsid w:val="00D86A86"/>
    <w:rsid w:val="00DC0F1E"/>
    <w:rsid w:val="00DD2B13"/>
    <w:rsid w:val="00DD464C"/>
    <w:rsid w:val="00DE213B"/>
    <w:rsid w:val="00DE2992"/>
    <w:rsid w:val="00DE6A21"/>
    <w:rsid w:val="00DF0949"/>
    <w:rsid w:val="00E1390A"/>
    <w:rsid w:val="00E32243"/>
    <w:rsid w:val="00E33872"/>
    <w:rsid w:val="00E72F38"/>
    <w:rsid w:val="00E90796"/>
    <w:rsid w:val="00E978A4"/>
    <w:rsid w:val="00EE4CAA"/>
    <w:rsid w:val="00EF537E"/>
    <w:rsid w:val="00F004EC"/>
    <w:rsid w:val="00F15FBE"/>
    <w:rsid w:val="00F16FF2"/>
    <w:rsid w:val="00F76585"/>
    <w:rsid w:val="00F80138"/>
    <w:rsid w:val="00F83C9A"/>
    <w:rsid w:val="00F97C8F"/>
    <w:rsid w:val="00FB0CA0"/>
    <w:rsid w:val="00FE5ECC"/>
    <w:rsid w:val="00FF1B4A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90E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0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85F8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8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8D8"/>
  </w:style>
  <w:style w:type="paragraph" w:styleId="ab">
    <w:name w:val="footer"/>
    <w:basedOn w:val="a"/>
    <w:link w:val="ac"/>
    <w:uiPriority w:val="99"/>
    <w:unhideWhenUsed/>
    <w:rsid w:val="0088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48;&#1053;&#1060;&#1054;&#1056;&#1052;.&#1041;&#1102;&#1083;&#1083;&#1077;&#1090;&#1077;&#1085;&#1080;\&#1043;&#1088;&#1072;&#1092;&#1080;&#1082;&#1080;%20&#1076;&#1083;&#1103;%20&#1043;&#1044;%20&#1057;&#1043;&#1052;%20&#1076;&#1086;&#1087;.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58;&#1063;&#1045;&#1058;%202019\&#1057;&#1043;&#1052;%20&#1084;&#1072;&#1090;&#1077;&#1088;&#1080;&#1072;&#1083;&#1099;%20&#1082;%20&#1075;&#1086;&#1089;&#1076;&#1086;&#1082;&#1083;&#1072;&#1076;&#1091;%202018\&#1095;&#1072;&#1089;&#1090;&#1086;&#1090;&#1072;%20&#1086;&#1090;&#1088;&#1072;&#1074;&#1083;&#1077;&#1085;&#1080;&#1081;%202018-2019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58;&#1063;&#1045;&#1058;%202019\&#1057;&#1043;&#1052;%20&#1084;&#1072;&#1090;&#1077;&#1088;&#1080;&#1072;&#1083;&#1099;%20&#1082;%20&#1075;&#1086;&#1089;&#1076;&#1086;&#1082;&#1083;&#1072;&#1076;&#1091;%202018\&#1095;&#1072;&#1089;&#1090;&#1086;&#1090;&#1072;%20&#1086;&#1090;&#1088;&#1072;&#1074;&#1083;&#1077;&#1085;&#1080;&#1081;%202018-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_sgm\&#1056;&#1072;&#1073;&#1086;&#1095;&#1080;&#1081;%20&#1089;&#1090;&#1086;&#1083;\&#1048;&#1053;&#1060;&#1054;&#1056;&#1052;.&#1041;&#1102;&#1083;&#1083;&#1077;&#1090;&#1077;&#1085;&#1080;\&#1043;&#1088;&#1072;&#1092;&#1080;&#1082;&#1080;%20&#1076;&#1083;&#1103;%20&#1043;&#1044;%20&#1057;&#1043;&#1052;%20&#1076;&#1086;&#1087;.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75;&#1088;&#1072;&#1092;&#1080;&#1082;&#1080;%20&#1082;%20&#1048;&#1041;%20&#1079;&#1072;%202019-2020%20&#107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7.86199152903721E-2"/>
                  <c:y val="-0.181600685331000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221097814036798E-2"/>
                  <c:y val="7.0279965004374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7922908553398342E-2"/>
                  <c:y val="6.138050452026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2390915034537804E-2"/>
                  <c:y val="-5.01060804899388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Лист2!$A$3:$A$6</c:f>
              <c:strCache>
                <c:ptCount val="4"/>
                <c:pt idx="0">
                  <c:v>Отравления спиртосодержащей продукцией</c:v>
                </c:pt>
                <c:pt idx="1">
                  <c:v>Отравления наркотическими веществами</c:v>
                </c:pt>
                <c:pt idx="2">
                  <c:v>Отравления лекарственными веществами</c:v>
                </c:pt>
                <c:pt idx="3">
                  <c:v>Прочие отравления 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35.200000000000003</c:v>
                </c:pt>
                <c:pt idx="1">
                  <c:v>9.1</c:v>
                </c:pt>
                <c:pt idx="2">
                  <c:v>30.6</c:v>
                </c:pt>
                <c:pt idx="3">
                  <c:v>25.1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0.18763796909492306"/>
          <c:y val="0"/>
          <c:w val="0.59548678103978525"/>
          <c:h val="0.7960780085863349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66CC"/>
              </a:solidFill>
            </c:spPr>
          </c:dPt>
          <c:dPt>
            <c:idx val="1"/>
            <c:spPr>
              <a:solidFill>
                <a:srgbClr val="0066FF"/>
              </a:solidFill>
            </c:spPr>
          </c:dPt>
          <c:dPt>
            <c:idx val="2"/>
            <c:spPr>
              <a:solidFill>
                <a:srgbClr val="99FF66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2BD2E9"/>
              </a:solidFill>
            </c:spPr>
          </c:dPt>
          <c:dPt>
            <c:idx val="5"/>
            <c:spPr>
              <a:solidFill>
                <a:srgbClr val="FF9900"/>
              </a:solidFill>
            </c:spPr>
          </c:dPt>
          <c:dPt>
            <c:idx val="6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1275908693231485E-2"/>
                  <c:y val="-0.14504999820754191"/>
                </c:manualLayout>
              </c:layout>
              <c:showVal val="1"/>
            </c:dLbl>
            <c:dLbl>
              <c:idx val="1"/>
              <c:layout>
                <c:manualLayout>
                  <c:x val="3.6444842122007597E-2"/>
                  <c:y val="1.4948818200906705E-2"/>
                </c:manualLayout>
              </c:layout>
              <c:showVal val="1"/>
            </c:dLbl>
            <c:dLbl>
              <c:idx val="2"/>
              <c:layout>
                <c:manualLayout>
                  <c:x val="4.8392189612662062E-2"/>
                  <c:y val="-0.12209714213853397"/>
                </c:manualLayout>
              </c:layout>
              <c:showVal val="1"/>
            </c:dLbl>
            <c:dLbl>
              <c:idx val="3"/>
              <c:layout>
                <c:manualLayout>
                  <c:x val="4.779090113735799E-2"/>
                  <c:y val="-1.2647358570767681E-2"/>
                </c:manualLayout>
              </c:layout>
              <c:showVal val="1"/>
            </c:dLbl>
            <c:dLbl>
              <c:idx val="4"/>
              <c:layout>
                <c:manualLayout>
                  <c:x val="6.6238049789230868E-2"/>
                  <c:y val="2.3285741192912341E-2"/>
                </c:manualLayout>
              </c:layout>
              <c:showVal val="1"/>
            </c:dLbl>
            <c:dLbl>
              <c:idx val="5"/>
              <c:layout>
                <c:manualLayout>
                  <c:x val="2.3614570905909488E-2"/>
                  <c:y val="6.1737387210269133E-3"/>
                </c:manualLayout>
              </c:layout>
              <c:showVal val="1"/>
            </c:dLbl>
            <c:dLbl>
              <c:idx val="6"/>
              <c:layout>
                <c:manualLayout>
                  <c:x val="-6.3089000238606543E-2"/>
                  <c:y val="4.8311020546125291E-4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ООХЭ!$E$175:$E$181</c:f>
              <c:strCache>
                <c:ptCount val="7"/>
                <c:pt idx="0">
                  <c:v>этиловым спиртом</c:v>
                </c:pt>
                <c:pt idx="1">
                  <c:v>суррогатами алкоголя</c:v>
                </c:pt>
                <c:pt idx="2">
                  <c:v>метиловым спиртом</c:v>
                </c:pt>
                <c:pt idx="3">
                  <c:v>стеклоочистителем</c:v>
                </c:pt>
                <c:pt idx="4">
                  <c:v>техническим спиртом</c:v>
                </c:pt>
                <c:pt idx="5">
                  <c:v>этиленгликолем</c:v>
                </c:pt>
                <c:pt idx="6">
                  <c:v>другими спиртами</c:v>
                </c:pt>
              </c:strCache>
            </c:strRef>
          </c:cat>
          <c:val>
            <c:numRef>
              <c:f>ООХЭ!$F$175:$F$181</c:f>
              <c:numCache>
                <c:formatCode>General</c:formatCode>
                <c:ptCount val="7"/>
                <c:pt idx="0">
                  <c:v>69</c:v>
                </c:pt>
                <c:pt idx="1">
                  <c:v>21</c:v>
                </c:pt>
                <c:pt idx="2">
                  <c:v>13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1.7120335123672462E-2"/>
          <c:y val="0.79455762406227337"/>
          <c:w val="0.96963463176374565"/>
          <c:h val="0.1646235296382566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540996790442979E-2"/>
          <c:y val="3.1698835657581893E-2"/>
          <c:w val="0.9079566307693433"/>
          <c:h val="0.57285053469107472"/>
        </c:manualLayout>
      </c:layout>
      <c:barChart>
        <c:barDir val="col"/>
        <c:grouping val="clustered"/>
        <c:ser>
          <c:idx val="0"/>
          <c:order val="0"/>
          <c:tx>
            <c:strRef>
              <c:f>Лист4!$B$1:$B$2</c:f>
              <c:strCache>
                <c:ptCount val="1"/>
                <c:pt idx="0">
                  <c:v>2019 г. Показатель отравлений спиртсодержащей продукцией 100 тыс.</c:v>
                </c:pt>
              </c:strCache>
            </c:strRef>
          </c:tx>
          <c:cat>
            <c:strRef>
              <c:f>Лист4!$A$3:$A$28</c:f>
              <c:strCache>
                <c:ptCount val="26"/>
                <c:pt idx="0">
                  <c:v>г. Кострома</c:v>
                </c:pt>
                <c:pt idx="1">
                  <c:v>Волгореченск</c:v>
                </c:pt>
                <c:pt idx="2">
                  <c:v>Антроповский</c:v>
                </c:pt>
                <c:pt idx="3">
                  <c:v>г.Буй и Буйский</c:v>
                </c:pt>
                <c:pt idx="4">
                  <c:v>Вохомский</c:v>
                </c:pt>
                <c:pt idx="5">
                  <c:v>г.Галич и Галичский</c:v>
                </c:pt>
                <c:pt idx="6">
                  <c:v>Кадыйский</c:v>
                </c:pt>
                <c:pt idx="7">
                  <c:v>Кологривский</c:v>
                </c:pt>
                <c:pt idx="8">
                  <c:v>Костромской</c:v>
                </c:pt>
                <c:pt idx="9">
                  <c:v>Красносельский</c:v>
                </c:pt>
                <c:pt idx="10">
                  <c:v>Макарьевский</c:v>
                </c:pt>
                <c:pt idx="11">
                  <c:v>г.Мантурово и Мантуровский</c:v>
                </c:pt>
                <c:pt idx="12">
                  <c:v>Межевской</c:v>
                </c:pt>
                <c:pt idx="13">
                  <c:v>Нейский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Островский</c:v>
                </c:pt>
                <c:pt idx="17">
                  <c:v>Павинский</c:v>
                </c:pt>
                <c:pt idx="18">
                  <c:v>Парфеньевский</c:v>
                </c:pt>
                <c:pt idx="19">
                  <c:v>Поназыревский</c:v>
                </c:pt>
                <c:pt idx="20">
                  <c:v>Пыщугский</c:v>
                </c:pt>
                <c:pt idx="21">
                  <c:v>Солигаличский</c:v>
                </c:pt>
                <c:pt idx="22">
                  <c:v>Судиславский</c:v>
                </c:pt>
                <c:pt idx="23">
                  <c:v>Сусанинский</c:v>
                </c:pt>
                <c:pt idx="24">
                  <c:v>Чухломский</c:v>
                </c:pt>
                <c:pt idx="25">
                  <c:v>г.Шарья и Шарьинский</c:v>
                </c:pt>
              </c:strCache>
            </c:strRef>
          </c:cat>
          <c:val>
            <c:numRef>
              <c:f>Лист4!$B$3:$B$28</c:f>
              <c:numCache>
                <c:formatCode>General</c:formatCode>
                <c:ptCount val="26"/>
                <c:pt idx="0">
                  <c:v>11.23</c:v>
                </c:pt>
                <c:pt idx="1">
                  <c:v>12.21</c:v>
                </c:pt>
                <c:pt idx="2">
                  <c:v>0</c:v>
                </c:pt>
                <c:pt idx="3">
                  <c:v>9.01</c:v>
                </c:pt>
                <c:pt idx="4">
                  <c:v>0</c:v>
                </c:pt>
                <c:pt idx="5">
                  <c:v>20.85</c:v>
                </c:pt>
                <c:pt idx="6">
                  <c:v>0</c:v>
                </c:pt>
                <c:pt idx="7">
                  <c:v>38.910000000000004</c:v>
                </c:pt>
                <c:pt idx="8">
                  <c:v>19.110000000000021</c:v>
                </c:pt>
                <c:pt idx="9">
                  <c:v>10.93</c:v>
                </c:pt>
                <c:pt idx="10">
                  <c:v>0</c:v>
                </c:pt>
                <c:pt idx="11">
                  <c:v>15.9</c:v>
                </c:pt>
                <c:pt idx="12">
                  <c:v>57.05</c:v>
                </c:pt>
                <c:pt idx="13">
                  <c:v>8.4</c:v>
                </c:pt>
                <c:pt idx="14">
                  <c:v>21.82</c:v>
                </c:pt>
                <c:pt idx="15">
                  <c:v>0</c:v>
                </c:pt>
                <c:pt idx="16">
                  <c:v>8.99</c:v>
                </c:pt>
                <c:pt idx="17">
                  <c:v>0</c:v>
                </c:pt>
                <c:pt idx="18">
                  <c:v>0</c:v>
                </c:pt>
                <c:pt idx="19">
                  <c:v>14.81</c:v>
                </c:pt>
                <c:pt idx="20">
                  <c:v>0</c:v>
                </c:pt>
                <c:pt idx="21">
                  <c:v>11.43</c:v>
                </c:pt>
                <c:pt idx="22">
                  <c:v>8.11</c:v>
                </c:pt>
                <c:pt idx="23">
                  <c:v>0</c:v>
                </c:pt>
                <c:pt idx="24">
                  <c:v>10.33</c:v>
                </c:pt>
                <c:pt idx="25">
                  <c:v>11.19</c:v>
                </c:pt>
              </c:numCache>
            </c:numRef>
          </c:val>
        </c:ser>
        <c:ser>
          <c:idx val="2"/>
          <c:order val="2"/>
          <c:tx>
            <c:strRef>
              <c:f>Лист4!$D$1:$D$2</c:f>
              <c:strCache>
                <c:ptCount val="1"/>
                <c:pt idx="0">
                  <c:v>2018 г. Показатель отравлений спиртсодержащей продукцией 100 тыс.</c:v>
                </c:pt>
              </c:strCache>
            </c:strRef>
          </c:tx>
          <c:cat>
            <c:strRef>
              <c:f>Лист4!$A$3:$A$28</c:f>
              <c:strCache>
                <c:ptCount val="26"/>
                <c:pt idx="0">
                  <c:v>г. Кострома</c:v>
                </c:pt>
                <c:pt idx="1">
                  <c:v>Волгореченск</c:v>
                </c:pt>
                <c:pt idx="2">
                  <c:v>Антроповский</c:v>
                </c:pt>
                <c:pt idx="3">
                  <c:v>г.Буй и Буйский</c:v>
                </c:pt>
                <c:pt idx="4">
                  <c:v>Вохомский</c:v>
                </c:pt>
                <c:pt idx="5">
                  <c:v>г.Галич и Галичский</c:v>
                </c:pt>
                <c:pt idx="6">
                  <c:v>Кадыйский</c:v>
                </c:pt>
                <c:pt idx="7">
                  <c:v>Кологривский</c:v>
                </c:pt>
                <c:pt idx="8">
                  <c:v>Костромской</c:v>
                </c:pt>
                <c:pt idx="9">
                  <c:v>Красносельский</c:v>
                </c:pt>
                <c:pt idx="10">
                  <c:v>Макарьевский</c:v>
                </c:pt>
                <c:pt idx="11">
                  <c:v>г.Мантурово и Мантуровский</c:v>
                </c:pt>
                <c:pt idx="12">
                  <c:v>Межевской</c:v>
                </c:pt>
                <c:pt idx="13">
                  <c:v>Нейский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Островский</c:v>
                </c:pt>
                <c:pt idx="17">
                  <c:v>Павинский</c:v>
                </c:pt>
                <c:pt idx="18">
                  <c:v>Парфеньевский</c:v>
                </c:pt>
                <c:pt idx="19">
                  <c:v>Поназыревский</c:v>
                </c:pt>
                <c:pt idx="20">
                  <c:v>Пыщугский</c:v>
                </c:pt>
                <c:pt idx="21">
                  <c:v>Солигаличский</c:v>
                </c:pt>
                <c:pt idx="22">
                  <c:v>Судиславский</c:v>
                </c:pt>
                <c:pt idx="23">
                  <c:v>Сусанинский</c:v>
                </c:pt>
                <c:pt idx="24">
                  <c:v>Чухломский</c:v>
                </c:pt>
                <c:pt idx="25">
                  <c:v>г.Шарья и Шарьинский</c:v>
                </c:pt>
              </c:strCache>
            </c:strRef>
          </c:cat>
          <c:val>
            <c:numRef>
              <c:f>Лист4!$D$3:$D$28</c:f>
              <c:numCache>
                <c:formatCode>General</c:formatCode>
                <c:ptCount val="26"/>
                <c:pt idx="0">
                  <c:v>16.23</c:v>
                </c:pt>
                <c:pt idx="1">
                  <c:v>18.13000000000002</c:v>
                </c:pt>
                <c:pt idx="2">
                  <c:v>122.29</c:v>
                </c:pt>
                <c:pt idx="3">
                  <c:v>0</c:v>
                </c:pt>
                <c:pt idx="4">
                  <c:v>0</c:v>
                </c:pt>
                <c:pt idx="5">
                  <c:v>24.72</c:v>
                </c:pt>
                <c:pt idx="6">
                  <c:v>13.870000000000006</c:v>
                </c:pt>
                <c:pt idx="7">
                  <c:v>75.11999999999999</c:v>
                </c:pt>
                <c:pt idx="8">
                  <c:v>27.63000000000002</c:v>
                </c:pt>
                <c:pt idx="9">
                  <c:v>11.02</c:v>
                </c:pt>
                <c:pt idx="10">
                  <c:v>7.58</c:v>
                </c:pt>
                <c:pt idx="11">
                  <c:v>10.36000000000001</c:v>
                </c:pt>
                <c:pt idx="12">
                  <c:v>0</c:v>
                </c:pt>
                <c:pt idx="13">
                  <c:v>24.53</c:v>
                </c:pt>
                <c:pt idx="14">
                  <c:v>40.25</c:v>
                </c:pt>
                <c:pt idx="15">
                  <c:v>0</c:v>
                </c:pt>
                <c:pt idx="16">
                  <c:v>26.74</c:v>
                </c:pt>
                <c:pt idx="17">
                  <c:v>0</c:v>
                </c:pt>
                <c:pt idx="18">
                  <c:v>54.63</c:v>
                </c:pt>
                <c:pt idx="19">
                  <c:v>0</c:v>
                </c:pt>
                <c:pt idx="20">
                  <c:v>22.99</c:v>
                </c:pt>
                <c:pt idx="21">
                  <c:v>11.24</c:v>
                </c:pt>
                <c:pt idx="22">
                  <c:v>16.059999999999999</c:v>
                </c:pt>
                <c:pt idx="23">
                  <c:v>29.75</c:v>
                </c:pt>
                <c:pt idx="24">
                  <c:v>30.53</c:v>
                </c:pt>
                <c:pt idx="25">
                  <c:v>15.46</c:v>
                </c:pt>
              </c:numCache>
            </c:numRef>
          </c:val>
        </c:ser>
        <c:axId val="146287232"/>
        <c:axId val="146317696"/>
      </c:barChart>
      <c:lineChart>
        <c:grouping val="standard"/>
        <c:ser>
          <c:idx val="1"/>
          <c:order val="1"/>
          <c:tx>
            <c:strRef>
              <c:f>Лист4!$C$1:$C$2</c:f>
              <c:strCache>
                <c:ptCount val="1"/>
                <c:pt idx="0">
                  <c:v>2019 г. среднеобластной показатель на 100 тысяч </c:v>
                </c:pt>
              </c:strCache>
            </c:strRef>
          </c:tx>
          <c:marker>
            <c:symbol val="none"/>
          </c:marker>
          <c:cat>
            <c:strRef>
              <c:f>Лист4!$A$3:$A$28</c:f>
              <c:strCache>
                <c:ptCount val="26"/>
                <c:pt idx="0">
                  <c:v>г. Кострома</c:v>
                </c:pt>
                <c:pt idx="1">
                  <c:v>Волгореченск</c:v>
                </c:pt>
                <c:pt idx="2">
                  <c:v>Антроповский</c:v>
                </c:pt>
                <c:pt idx="3">
                  <c:v>г.Буй и Буйский</c:v>
                </c:pt>
                <c:pt idx="4">
                  <c:v>Вохомский</c:v>
                </c:pt>
                <c:pt idx="5">
                  <c:v>г.Галич и Галичский</c:v>
                </c:pt>
                <c:pt idx="6">
                  <c:v>Кадыйский</c:v>
                </c:pt>
                <c:pt idx="7">
                  <c:v>Кологривский</c:v>
                </c:pt>
                <c:pt idx="8">
                  <c:v>Костромской</c:v>
                </c:pt>
                <c:pt idx="9">
                  <c:v>Красносельский</c:v>
                </c:pt>
                <c:pt idx="10">
                  <c:v>Макарьевский</c:v>
                </c:pt>
                <c:pt idx="11">
                  <c:v>г.Мантурово и Мантуровский</c:v>
                </c:pt>
                <c:pt idx="12">
                  <c:v>Межевской</c:v>
                </c:pt>
                <c:pt idx="13">
                  <c:v>Нейский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Островский</c:v>
                </c:pt>
                <c:pt idx="17">
                  <c:v>Павинский</c:v>
                </c:pt>
                <c:pt idx="18">
                  <c:v>Парфеньевский</c:v>
                </c:pt>
                <c:pt idx="19">
                  <c:v>Поназыревский</c:v>
                </c:pt>
                <c:pt idx="20">
                  <c:v>Пыщугский</c:v>
                </c:pt>
                <c:pt idx="21">
                  <c:v>Солигаличский</c:v>
                </c:pt>
                <c:pt idx="22">
                  <c:v>Судиславский</c:v>
                </c:pt>
                <c:pt idx="23">
                  <c:v>Сусанинский</c:v>
                </c:pt>
                <c:pt idx="24">
                  <c:v>Чухломский</c:v>
                </c:pt>
                <c:pt idx="25">
                  <c:v>г.Шарья и Шарьинский</c:v>
                </c:pt>
              </c:strCache>
            </c:strRef>
          </c:cat>
          <c:val>
            <c:numRef>
              <c:f>Лист4!$C$3:$C$28</c:f>
              <c:numCache>
                <c:formatCode>General</c:formatCode>
                <c:ptCount val="26"/>
                <c:pt idx="0">
                  <c:v>8.6300000000000008</c:v>
                </c:pt>
                <c:pt idx="1">
                  <c:v>8.6300000000000008</c:v>
                </c:pt>
                <c:pt idx="2">
                  <c:v>8.6300000000000008</c:v>
                </c:pt>
                <c:pt idx="3">
                  <c:v>8.6300000000000008</c:v>
                </c:pt>
                <c:pt idx="4">
                  <c:v>8.6300000000000008</c:v>
                </c:pt>
                <c:pt idx="5">
                  <c:v>8.6300000000000008</c:v>
                </c:pt>
                <c:pt idx="6">
                  <c:v>8.6300000000000008</c:v>
                </c:pt>
                <c:pt idx="7">
                  <c:v>8.6300000000000008</c:v>
                </c:pt>
                <c:pt idx="8">
                  <c:v>8.6300000000000008</c:v>
                </c:pt>
                <c:pt idx="9">
                  <c:v>8.6300000000000008</c:v>
                </c:pt>
                <c:pt idx="10">
                  <c:v>8.6300000000000008</c:v>
                </c:pt>
                <c:pt idx="11">
                  <c:v>8.6300000000000008</c:v>
                </c:pt>
                <c:pt idx="12">
                  <c:v>8.6300000000000008</c:v>
                </c:pt>
                <c:pt idx="13">
                  <c:v>8.6300000000000008</c:v>
                </c:pt>
                <c:pt idx="14">
                  <c:v>8.6300000000000008</c:v>
                </c:pt>
                <c:pt idx="15">
                  <c:v>8.6300000000000008</c:v>
                </c:pt>
                <c:pt idx="16">
                  <c:v>8.6300000000000008</c:v>
                </c:pt>
                <c:pt idx="17">
                  <c:v>8.6300000000000008</c:v>
                </c:pt>
                <c:pt idx="18">
                  <c:v>8.6300000000000008</c:v>
                </c:pt>
                <c:pt idx="19">
                  <c:v>8.6300000000000008</c:v>
                </c:pt>
                <c:pt idx="20">
                  <c:v>8.6300000000000008</c:v>
                </c:pt>
                <c:pt idx="21">
                  <c:v>8.6300000000000008</c:v>
                </c:pt>
                <c:pt idx="22">
                  <c:v>8.6300000000000008</c:v>
                </c:pt>
                <c:pt idx="23">
                  <c:v>8.6300000000000008</c:v>
                </c:pt>
                <c:pt idx="24">
                  <c:v>8.6300000000000008</c:v>
                </c:pt>
                <c:pt idx="25">
                  <c:v>8.6300000000000008</c:v>
                </c:pt>
              </c:numCache>
            </c:numRef>
          </c:val>
        </c:ser>
        <c:ser>
          <c:idx val="3"/>
          <c:order val="3"/>
          <c:tx>
            <c:strRef>
              <c:f>Лист4!$E$1:$E$2</c:f>
              <c:strCache>
                <c:ptCount val="1"/>
                <c:pt idx="0">
                  <c:v>2018 г. среднеобластной показатель на 100 тысяч </c:v>
                </c:pt>
              </c:strCache>
            </c:strRef>
          </c:tx>
          <c:marker>
            <c:symbol val="none"/>
          </c:marker>
          <c:cat>
            <c:strRef>
              <c:f>Лист4!$A$3:$A$28</c:f>
              <c:strCache>
                <c:ptCount val="26"/>
                <c:pt idx="0">
                  <c:v>г. Кострома</c:v>
                </c:pt>
                <c:pt idx="1">
                  <c:v>Волгореченск</c:v>
                </c:pt>
                <c:pt idx="2">
                  <c:v>Антроповский</c:v>
                </c:pt>
                <c:pt idx="3">
                  <c:v>г.Буй и Буйский</c:v>
                </c:pt>
                <c:pt idx="4">
                  <c:v>Вохомский</c:v>
                </c:pt>
                <c:pt idx="5">
                  <c:v>г.Галич и Галичский</c:v>
                </c:pt>
                <c:pt idx="6">
                  <c:v>Кадыйский</c:v>
                </c:pt>
                <c:pt idx="7">
                  <c:v>Кологривский</c:v>
                </c:pt>
                <c:pt idx="8">
                  <c:v>Костромской</c:v>
                </c:pt>
                <c:pt idx="9">
                  <c:v>Красносельский</c:v>
                </c:pt>
                <c:pt idx="10">
                  <c:v>Макарьевский</c:v>
                </c:pt>
                <c:pt idx="11">
                  <c:v>г.Мантурово и Мантуровский</c:v>
                </c:pt>
                <c:pt idx="12">
                  <c:v>Межевской</c:v>
                </c:pt>
                <c:pt idx="13">
                  <c:v>Нейский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Островский</c:v>
                </c:pt>
                <c:pt idx="17">
                  <c:v>Павинский</c:v>
                </c:pt>
                <c:pt idx="18">
                  <c:v>Парфеньевский</c:v>
                </c:pt>
                <c:pt idx="19">
                  <c:v>Поназыревский</c:v>
                </c:pt>
                <c:pt idx="20">
                  <c:v>Пыщугский</c:v>
                </c:pt>
                <c:pt idx="21">
                  <c:v>Солигаличский</c:v>
                </c:pt>
                <c:pt idx="22">
                  <c:v>Судиславский</c:v>
                </c:pt>
                <c:pt idx="23">
                  <c:v>Сусанинский</c:v>
                </c:pt>
                <c:pt idx="24">
                  <c:v>Чухломский</c:v>
                </c:pt>
                <c:pt idx="25">
                  <c:v>г.Шарья и Шарьинский</c:v>
                </c:pt>
              </c:strCache>
            </c:strRef>
          </c:cat>
          <c:val>
            <c:numRef>
              <c:f>Лист4!$E$3:$E$28</c:f>
              <c:numCache>
                <c:formatCode>General</c:formatCode>
                <c:ptCount val="26"/>
                <c:pt idx="0">
                  <c:v>15.7</c:v>
                </c:pt>
                <c:pt idx="1">
                  <c:v>15.7</c:v>
                </c:pt>
                <c:pt idx="2">
                  <c:v>15.7</c:v>
                </c:pt>
                <c:pt idx="3">
                  <c:v>15.7</c:v>
                </c:pt>
                <c:pt idx="4">
                  <c:v>15.7</c:v>
                </c:pt>
                <c:pt idx="5">
                  <c:v>15.7</c:v>
                </c:pt>
                <c:pt idx="6">
                  <c:v>15.7</c:v>
                </c:pt>
                <c:pt idx="7">
                  <c:v>15.7</c:v>
                </c:pt>
                <c:pt idx="8">
                  <c:v>15.7</c:v>
                </c:pt>
                <c:pt idx="9">
                  <c:v>15.7</c:v>
                </c:pt>
                <c:pt idx="10">
                  <c:v>15.7</c:v>
                </c:pt>
                <c:pt idx="11">
                  <c:v>15.7</c:v>
                </c:pt>
                <c:pt idx="12">
                  <c:v>15.7</c:v>
                </c:pt>
                <c:pt idx="13">
                  <c:v>15.7</c:v>
                </c:pt>
                <c:pt idx="14">
                  <c:v>15.7</c:v>
                </c:pt>
                <c:pt idx="15">
                  <c:v>15.7</c:v>
                </c:pt>
                <c:pt idx="16">
                  <c:v>15.7</c:v>
                </c:pt>
                <c:pt idx="17">
                  <c:v>15.7</c:v>
                </c:pt>
                <c:pt idx="18">
                  <c:v>15.7</c:v>
                </c:pt>
                <c:pt idx="19">
                  <c:v>15.7</c:v>
                </c:pt>
                <c:pt idx="20">
                  <c:v>15.7</c:v>
                </c:pt>
                <c:pt idx="21">
                  <c:v>15.7</c:v>
                </c:pt>
                <c:pt idx="22">
                  <c:v>15.7</c:v>
                </c:pt>
                <c:pt idx="23">
                  <c:v>15.7</c:v>
                </c:pt>
                <c:pt idx="24">
                  <c:v>15.7</c:v>
                </c:pt>
                <c:pt idx="25">
                  <c:v>15.7</c:v>
                </c:pt>
              </c:numCache>
            </c:numRef>
          </c:val>
        </c:ser>
        <c:marker val="1"/>
        <c:axId val="146287232"/>
        <c:axId val="146317696"/>
      </c:lineChart>
      <c:catAx>
        <c:axId val="1462872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6317696"/>
        <c:crosses val="autoZero"/>
        <c:auto val="1"/>
        <c:lblAlgn val="ctr"/>
        <c:lblOffset val="100"/>
      </c:catAx>
      <c:valAx>
        <c:axId val="1463176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28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181146902091751"/>
          <c:y val="1.0357054217279183E-2"/>
          <c:w val="0.40961843557856131"/>
          <c:h val="0.37400408616925346"/>
        </c:manualLayout>
      </c:layout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Показатель отравлений другими мониторируемыми видами  на 100 тыс.населения</a:t>
            </a:r>
          </a:p>
        </c:rich>
      </c:tx>
      <c:layout>
        <c:manualLayout>
          <c:xMode val="edge"/>
          <c:yMode val="edge"/>
          <c:x val="0.24857824713834573"/>
          <c:y val="7.7071290944123539E-3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7.1988407699037624E-2"/>
          <c:y val="0.1626398950131234"/>
          <c:w val="0.5938252092354156"/>
          <c:h val="0.73362650918635153"/>
        </c:manualLayout>
      </c:layout>
      <c:bar3DChart>
        <c:barDir val="col"/>
        <c:grouping val="clustered"/>
        <c:ser>
          <c:idx val="0"/>
          <c:order val="0"/>
          <c:tx>
            <c:strRef>
              <c:f>Лист4!$B$65</c:f>
              <c:strCache>
                <c:ptCount val="1"/>
                <c:pt idx="0">
                  <c:v>Показатель отравлений другими мониторируемыми видами на 100 тыс.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Лист4!$A$66:$A$68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Лист4!$B$66:$B$68</c:f>
              <c:numCache>
                <c:formatCode>General</c:formatCode>
                <c:ptCount val="3"/>
                <c:pt idx="0">
                  <c:v>11.57</c:v>
                </c:pt>
                <c:pt idx="1">
                  <c:v>10.57</c:v>
                </c:pt>
                <c:pt idx="2">
                  <c:v>8.6300000000000008</c:v>
                </c:pt>
              </c:numCache>
            </c:numRef>
          </c:val>
        </c:ser>
        <c:ser>
          <c:idx val="1"/>
          <c:order val="1"/>
          <c:tx>
            <c:strRef>
              <c:f>Лист4!$C$65</c:f>
              <c:strCache>
                <c:ptCount val="1"/>
                <c:pt idx="0">
                  <c:v>из них с летальным                   исходом на 100 тыс.</c:v>
                </c:pt>
              </c:strCache>
            </c:strRef>
          </c:tx>
          <c:dLbls>
            <c:dLbl>
              <c:idx val="0"/>
              <c:layout>
                <c:manualLayout>
                  <c:x val="3.2840716834410068E-2"/>
                  <c:y val="-1.3333333333333341E-2"/>
                </c:manualLayout>
              </c:layout>
              <c:showVal val="1"/>
            </c:dLbl>
            <c:dLbl>
              <c:idx val="1"/>
              <c:layout>
                <c:manualLayout>
                  <c:x val="2.1893811222940054E-2"/>
                  <c:y val="-2.0000000000000011E-2"/>
                </c:manualLayout>
              </c:layout>
              <c:showVal val="1"/>
            </c:dLbl>
            <c:dLbl>
              <c:idx val="2"/>
              <c:layout>
                <c:manualLayout>
                  <c:x val="1.3136286733764015E-2"/>
                  <c:y val="-2.666666666666667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Лист4!$A$66:$A$68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Лист4!$C$66:$C$68</c:f>
              <c:numCache>
                <c:formatCode>General</c:formatCode>
                <c:ptCount val="3"/>
                <c:pt idx="0">
                  <c:v>2.0499999999999998</c:v>
                </c:pt>
                <c:pt idx="1">
                  <c:v>2.8</c:v>
                </c:pt>
                <c:pt idx="2">
                  <c:v>1.26</c:v>
                </c:pt>
              </c:numCache>
            </c:numRef>
          </c:val>
        </c:ser>
        <c:gapWidth val="52"/>
        <c:shape val="box"/>
        <c:axId val="146339328"/>
        <c:axId val="146340864"/>
        <c:axId val="0"/>
      </c:bar3DChart>
      <c:catAx>
        <c:axId val="146339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340864"/>
        <c:crosses val="autoZero"/>
        <c:auto val="1"/>
        <c:lblAlgn val="ctr"/>
        <c:lblOffset val="100"/>
      </c:catAx>
      <c:valAx>
        <c:axId val="146340864"/>
        <c:scaling>
          <c:orientation val="minMax"/>
        </c:scaling>
        <c:axPos val="l"/>
        <c:numFmt formatCode="General" sourceLinked="1"/>
        <c:tickLblPos val="nextTo"/>
        <c:crossAx val="1463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43197725284363"/>
          <c:y val="0.27502420893040608"/>
          <c:w val="0.32790135608048998"/>
          <c:h val="0.4209660748928135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40"/>
      <c:depthPercent val="120"/>
      <c:rAngAx val="1"/>
    </c:view3D>
    <c:plotArea>
      <c:layout>
        <c:manualLayout>
          <c:layoutTarget val="inner"/>
          <c:xMode val="edge"/>
          <c:yMode val="edge"/>
          <c:x val="1.9686803669158034E-2"/>
          <c:y val="3.7606837606837612E-2"/>
          <c:w val="0.71223966773974079"/>
          <c:h val="0.8746042129349228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Лист1!$B$24</c:f>
              <c:strCache>
                <c:ptCount val="1"/>
                <c:pt idx="0">
                  <c:v>Отравления спиртосодержащей продукцией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Лист1!$C$23:$G$23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Лист1!$C$24:$G$24</c:f>
              <c:numCache>
                <c:formatCode>0.0%</c:formatCode>
                <c:ptCount val="5"/>
                <c:pt idx="0">
                  <c:v>0.70700000000000052</c:v>
                </c:pt>
                <c:pt idx="1">
                  <c:v>0.82399999999999995</c:v>
                </c:pt>
                <c:pt idx="2">
                  <c:v>0.86600000000000055</c:v>
                </c:pt>
                <c:pt idx="3">
                  <c:v>0.7770000000000008</c:v>
                </c:pt>
                <c:pt idx="4">
                  <c:v>0.35200000000000026</c:v>
                </c:pt>
              </c:numCache>
            </c:numRef>
          </c:val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Отравления наркотическими веществами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2.051282051282051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094017094017103E-2"/>
                </c:manualLayout>
              </c:layout>
              <c:showVal val="1"/>
            </c:dLbl>
            <c:dLbl>
              <c:idx val="2"/>
              <c:layout>
                <c:manualLayout>
                  <c:x val="1.0738256546813442E-2"/>
                  <c:y val="3.418803418803419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76068376068376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735042735042735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Лист1!$C$23:$G$23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Лист1!$C$25:$G$25</c:f>
              <c:numCache>
                <c:formatCode>0.0%</c:formatCode>
                <c:ptCount val="5"/>
                <c:pt idx="0">
                  <c:v>0.10800000000000007</c:v>
                </c:pt>
                <c:pt idx="1">
                  <c:v>6.5000000000000002E-2</c:v>
                </c:pt>
                <c:pt idx="2">
                  <c:v>4.3000000000000003E-2</c:v>
                </c:pt>
                <c:pt idx="3">
                  <c:v>6.2000000000000034E-2</c:v>
                </c:pt>
                <c:pt idx="4">
                  <c:v>9.1000000000000025E-2</c:v>
                </c:pt>
              </c:numCache>
            </c:numRef>
          </c:val>
        </c:ser>
        <c:ser>
          <c:idx val="2"/>
          <c:order val="2"/>
          <c:tx>
            <c:strRef>
              <c:f>Лист1!$B$26</c:f>
              <c:strCache>
                <c:ptCount val="1"/>
                <c:pt idx="0">
                  <c:v>Отравления лекарственными веществами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1.9686803669158041E-2"/>
                  <c:y val="-6.8376068376068393E-3"/>
                </c:manualLayout>
              </c:layout>
              <c:showVal val="1"/>
            </c:dLbl>
            <c:dLbl>
              <c:idx val="1"/>
              <c:layout>
                <c:manualLayout>
                  <c:x val="-3.579418848937822E-3"/>
                  <c:y val="-6.8376068376068393E-3"/>
                </c:manualLayout>
              </c:layout>
              <c:showVal val="1"/>
            </c:dLbl>
            <c:dLbl>
              <c:idx val="3"/>
              <c:layout>
                <c:manualLayout>
                  <c:x val="2.326622251809579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6845641367033612E-2"/>
                  <c:y val="0"/>
                </c:manualLayout>
              </c:layout>
              <c:showVal val="1"/>
            </c:dLbl>
            <c:spPr>
              <a:solidFill>
                <a:schemeClr val="tx1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Лист1!$C$23:$G$23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Лист1!$C$26:$G$26</c:f>
              <c:numCache>
                <c:formatCode>0.0%</c:formatCode>
                <c:ptCount val="5"/>
                <c:pt idx="0">
                  <c:v>2.5000000000000001E-2</c:v>
                </c:pt>
                <c:pt idx="1">
                  <c:v>1.7999999999999999E-2</c:v>
                </c:pt>
                <c:pt idx="2">
                  <c:v>2.9000000000000001E-2</c:v>
                </c:pt>
                <c:pt idx="3">
                  <c:v>2.3E-2</c:v>
                </c:pt>
                <c:pt idx="4">
                  <c:v>0.30600000000000033</c:v>
                </c:pt>
              </c:numCache>
            </c:numRef>
          </c:val>
        </c:ser>
        <c:ser>
          <c:idx val="3"/>
          <c:order val="3"/>
          <c:tx>
            <c:strRef>
              <c:f>Лист1!$B$27</c:f>
              <c:strCache>
                <c:ptCount val="1"/>
                <c:pt idx="0">
                  <c:v>Прочие отравления 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1.252796597128235E-2"/>
                  <c:y val="-6.1538461538461584E-2"/>
                </c:manualLayout>
              </c:layout>
              <c:showVal val="1"/>
            </c:dLbl>
            <c:dLbl>
              <c:idx val="1"/>
              <c:layout>
                <c:manualLayout>
                  <c:x val="1.431767539575126E-2"/>
                  <c:y val="-5.8119658119658107E-2"/>
                </c:manualLayout>
              </c:layout>
              <c:showVal val="1"/>
            </c:dLbl>
            <c:dLbl>
              <c:idx val="2"/>
              <c:layout>
                <c:manualLayout>
                  <c:x val="1.252796597128235E-2"/>
                  <c:y val="-4.1025641025641123E-2"/>
                </c:manualLayout>
              </c:layout>
              <c:showVal val="1"/>
            </c:dLbl>
            <c:dLbl>
              <c:idx val="3"/>
              <c:layout>
                <c:manualLayout>
                  <c:x val="1.6107384820220165E-2"/>
                  <c:y val="-4.4444444444444502E-2"/>
                </c:manualLayout>
              </c:layout>
              <c:showVal val="1"/>
            </c:dLbl>
            <c:dLbl>
              <c:idx val="4"/>
              <c:layout>
                <c:manualLayout>
                  <c:x val="1.252796597128235E-2"/>
                  <c:y val="-4.1025641025641033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Лист1!$C$23:$G$23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Лист1!$C$27:$G$27</c:f>
              <c:numCache>
                <c:formatCode>0.0%</c:formatCode>
                <c:ptCount val="5"/>
                <c:pt idx="0">
                  <c:v>0.15900000000000014</c:v>
                </c:pt>
                <c:pt idx="1">
                  <c:v>9.4000000000000028E-2</c:v>
                </c:pt>
                <c:pt idx="2">
                  <c:v>6.2000000000000034E-2</c:v>
                </c:pt>
                <c:pt idx="3">
                  <c:v>0.13800000000000001</c:v>
                </c:pt>
                <c:pt idx="4">
                  <c:v>0.251</c:v>
                </c:pt>
              </c:numCache>
            </c:numRef>
          </c:val>
        </c:ser>
        <c:shape val="box"/>
        <c:axId val="127709952"/>
        <c:axId val="127712256"/>
        <c:axId val="0"/>
      </c:bar3DChart>
      <c:catAx>
        <c:axId val="1277099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712256"/>
        <c:crosses val="autoZero"/>
        <c:auto val="1"/>
        <c:lblAlgn val="ctr"/>
        <c:lblOffset val="100"/>
      </c:catAx>
      <c:valAx>
        <c:axId val="127712256"/>
        <c:scaling>
          <c:orientation val="minMax"/>
        </c:scaling>
        <c:delete val="1"/>
        <c:axPos val="l"/>
        <c:numFmt formatCode="0%" sourceLinked="1"/>
        <c:tickLblPos val="none"/>
        <c:crossAx val="12770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5310837296525"/>
          <c:y val="3.3908876775018512E-2"/>
          <c:w val="0.22773065972353362"/>
          <c:h val="0.9082506225183401"/>
        </c:manualLayout>
      </c:layout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6.1734302442963884E-3"/>
          <c:y val="0.16167328257521529"/>
          <c:w val="0.64540318998586643"/>
          <c:h val="0.80337519793496859"/>
        </c:manualLayout>
      </c:layout>
      <c:pie3DChart>
        <c:varyColors val="1"/>
        <c:ser>
          <c:idx val="0"/>
          <c:order val="0"/>
          <c:tx>
            <c:strRef>
              <c:f>'ООХЭ по возрастам'!$B$46</c:f>
              <c:strCache>
                <c:ptCount val="1"/>
                <c:pt idx="0">
                  <c:v>2018г.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66FF"/>
              </a:solidFill>
            </c:spPr>
          </c:dPt>
          <c:dPt>
            <c:idx val="4"/>
            <c:spPr>
              <a:solidFill>
                <a:srgbClr val="2BE8F1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6.3632631986575663E-2"/>
                  <c:y val="-5.0912802566345873E-2"/>
                </c:manualLayout>
              </c:layout>
              <c:showVal val="1"/>
            </c:dLbl>
            <c:dLbl>
              <c:idx val="1"/>
              <c:layout>
                <c:manualLayout>
                  <c:x val="-2.2812873800611012E-2"/>
                  <c:y val="-0.1446143190434529"/>
                </c:manualLayout>
              </c:layout>
              <c:showVal val="1"/>
            </c:dLbl>
            <c:dLbl>
              <c:idx val="2"/>
              <c:layout>
                <c:manualLayout>
                  <c:x val="2.376782410395422E-2"/>
                  <c:y val="-1.5989720034995641E-2"/>
                </c:manualLayout>
              </c:layout>
              <c:showVal val="1"/>
            </c:dLbl>
            <c:dLbl>
              <c:idx val="3"/>
              <c:layout>
                <c:manualLayout>
                  <c:x val="3.8419689342110923E-2"/>
                  <c:y val="1.9620880723242976E-2"/>
                </c:manualLayout>
              </c:layout>
              <c:showVal val="1"/>
            </c:dLbl>
            <c:dLbl>
              <c:idx val="4"/>
              <c:layout>
                <c:manualLayout>
                  <c:x val="-6.734164554588723E-2"/>
                  <c:y val="-5.0423825234803795E-3"/>
                </c:manualLayout>
              </c:layout>
              <c:showVal val="1"/>
            </c:dLbl>
            <c:dLbl>
              <c:idx val="5"/>
              <c:layout>
                <c:manualLayout>
                  <c:x val="-3.9761197883051588E-2"/>
                  <c:y val="3.2268883056284642E-3"/>
                </c:manualLayout>
              </c:layout>
              <c:showVal val="1"/>
            </c:dLbl>
            <c:dLbl>
              <c:idx val="6"/>
              <c:layout>
                <c:manualLayout>
                  <c:x val="-3.1055032055419426E-2"/>
                  <c:y val="-7.751822688830585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'ООХЭ по возрастам'!$A$47:$A$53</c:f>
              <c:strCache>
                <c:ptCount val="7"/>
                <c:pt idx="0">
                  <c:v>0-6 лет</c:v>
                </c:pt>
                <c:pt idx="1">
                  <c:v>7-17 лет</c:v>
                </c:pt>
                <c:pt idx="2">
                  <c:v>18-25 лет</c:v>
                </c:pt>
                <c:pt idx="3">
                  <c:v>26-39 лет</c:v>
                </c:pt>
                <c:pt idx="4">
                  <c:v>40-49 лет</c:v>
                </c:pt>
                <c:pt idx="5">
                  <c:v>50-59 лет</c:v>
                </c:pt>
                <c:pt idx="6">
                  <c:v>60 лет и старше </c:v>
                </c:pt>
              </c:strCache>
            </c:strRef>
          </c:cat>
          <c:val>
            <c:numRef>
              <c:f>'ООХЭ по возрастам'!$B$47:$B$53</c:f>
              <c:numCache>
                <c:formatCode>0.0</c:formatCode>
                <c:ptCount val="7"/>
                <c:pt idx="0">
                  <c:v>8.9</c:v>
                </c:pt>
                <c:pt idx="1">
                  <c:v>11.7</c:v>
                </c:pt>
                <c:pt idx="2">
                  <c:v>4.5999999999999996</c:v>
                </c:pt>
                <c:pt idx="3">
                  <c:v>22.4</c:v>
                </c:pt>
                <c:pt idx="4">
                  <c:v>15.3</c:v>
                </c:pt>
                <c:pt idx="5">
                  <c:v>17.8</c:v>
                </c:pt>
                <c:pt idx="6">
                  <c:v>19.2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907215696398604"/>
          <c:y val="5.5431612715077213E-3"/>
          <c:w val="0.18781308893765344"/>
          <c:h val="0.9610203412073485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00FF"/>
              </a:solidFill>
            </c:spPr>
          </c:dPt>
          <c:dPt>
            <c:idx val="4"/>
            <c:spPr>
              <a:solidFill>
                <a:srgbClr val="66FFCC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7.7919400699912517E-2"/>
                  <c:y val="-8.5426873724117863E-2"/>
                </c:manualLayout>
              </c:layout>
              <c:showVal val="1"/>
            </c:dLbl>
            <c:dLbl>
              <c:idx val="1"/>
              <c:layout>
                <c:manualLayout>
                  <c:x val="2.2972659667541556E-2"/>
                  <c:y val="-6.7899168853893327E-2"/>
                </c:manualLayout>
              </c:layout>
              <c:showVal val="1"/>
            </c:dLbl>
            <c:dLbl>
              <c:idx val="2"/>
              <c:layout>
                <c:manualLayout>
                  <c:x val="8.0088582677165353E-3"/>
                  <c:y val="6.4213327500729084E-2"/>
                </c:manualLayout>
              </c:layout>
              <c:showVal val="1"/>
            </c:dLbl>
            <c:dLbl>
              <c:idx val="3"/>
              <c:layout>
                <c:manualLayout>
                  <c:x val="-0.124463910761155"/>
                  <c:y val="0.13118256051326918"/>
                </c:manualLayout>
              </c:layout>
              <c:showVal val="1"/>
            </c:dLbl>
            <c:dLbl>
              <c:idx val="4"/>
              <c:layout>
                <c:manualLayout>
                  <c:x val="4.9037620297462895E-3"/>
                  <c:y val="4.4831583552055992E-2"/>
                </c:manualLayout>
              </c:layout>
              <c:showVal val="1"/>
            </c:dLbl>
            <c:dLbl>
              <c:idx val="5"/>
              <c:layout>
                <c:manualLayout>
                  <c:x val="-9.3766404199475267E-3"/>
                  <c:y val="-0.12125364537766121"/>
                </c:manualLayout>
              </c:layout>
              <c:showVal val="1"/>
            </c:dLbl>
            <c:dLbl>
              <c:idx val="6"/>
              <c:layout>
                <c:manualLayout>
                  <c:x val="3.4586832895888008E-2"/>
                  <c:y val="-5.055701370662000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Лист1!$B$56:$B$62</c:f>
              <c:strCache>
                <c:ptCount val="7"/>
                <c:pt idx="0">
                  <c:v>0-6 лет</c:v>
                </c:pt>
                <c:pt idx="1">
                  <c:v>7-17 лет</c:v>
                </c:pt>
                <c:pt idx="2">
                  <c:v>18-25 лет</c:v>
                </c:pt>
                <c:pt idx="3">
                  <c:v>26-39 лет</c:v>
                </c:pt>
                <c:pt idx="4">
                  <c:v>40-49 лет</c:v>
                </c:pt>
                <c:pt idx="5">
                  <c:v>50-59 лет</c:v>
                </c:pt>
                <c:pt idx="6">
                  <c:v>60 лет и старше</c:v>
                </c:pt>
              </c:strCache>
            </c:strRef>
          </c:cat>
          <c:val>
            <c:numRef>
              <c:f>Лист1!$C$56:$C$62</c:f>
              <c:numCache>
                <c:formatCode>0.0%</c:formatCode>
                <c:ptCount val="7"/>
                <c:pt idx="0">
                  <c:v>9.6000000000000002E-2</c:v>
                </c:pt>
                <c:pt idx="1">
                  <c:v>0.11899999999999998</c:v>
                </c:pt>
                <c:pt idx="2">
                  <c:v>6.8000000000000019E-2</c:v>
                </c:pt>
                <c:pt idx="3">
                  <c:v>0.28800000000000026</c:v>
                </c:pt>
                <c:pt idx="4">
                  <c:v>0.20100000000000001</c:v>
                </c:pt>
                <c:pt idx="5">
                  <c:v>0.1</c:v>
                </c:pt>
                <c:pt idx="6">
                  <c:v>0.128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68800220832486"/>
          <c:y val="5.8841498979294263E-2"/>
          <c:w val="0.17839008016775859"/>
          <c:h val="0.84527960046660888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0089599022805091E-2"/>
          <c:y val="1.5978734635949482E-2"/>
          <c:w val="0.76386094007081162"/>
          <c:h val="0.92669049835304218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66FFCC"/>
              </a:solidFill>
            </c:spPr>
          </c:dPt>
          <c:dLbls>
            <c:dLbl>
              <c:idx val="0"/>
              <c:layout>
                <c:manualLayout>
                  <c:x val="-6.1247270720020661E-2"/>
                  <c:y val="0.25863050697347489"/>
                </c:manualLayout>
              </c:layout>
              <c:showVal val="1"/>
            </c:dLbl>
            <c:dLbl>
              <c:idx val="1"/>
              <c:layout>
                <c:manualLayout>
                  <c:x val="-1.4596475784545801E-3"/>
                  <c:y val="-0.2979853501471133"/>
                </c:manualLayout>
              </c:layout>
              <c:showVal val="1"/>
            </c:dLbl>
            <c:dLbl>
              <c:idx val="2"/>
              <c:layout>
                <c:manualLayout>
                  <c:x val="-4.8975082048908311E-2"/>
                  <c:y val="-2.706645182060867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Лист1!$B$70:$B$72</c:f>
              <c:strCache>
                <c:ptCount val="3"/>
                <c:pt idx="0">
                  <c:v>случайное</c:v>
                </c:pt>
                <c:pt idx="1">
                  <c:v>преднамеренное</c:v>
                </c:pt>
                <c:pt idx="2">
                  <c:v>неопределенное</c:v>
                </c:pt>
              </c:strCache>
            </c:strRef>
          </c:cat>
          <c:val>
            <c:numRef>
              <c:f>Лист1!$C$70:$C$72</c:f>
              <c:numCache>
                <c:formatCode>0.0%</c:formatCode>
                <c:ptCount val="3"/>
                <c:pt idx="0">
                  <c:v>0.59799999999999998</c:v>
                </c:pt>
                <c:pt idx="1">
                  <c:v>0.28300000000000008</c:v>
                </c:pt>
                <c:pt idx="2">
                  <c:v>0.11899999999999998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519049206885125"/>
          <c:y val="5.9991786574671982E-2"/>
          <c:w val="0.24181996388925234"/>
          <c:h val="0.89035443494442101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Лист1!$B$87</c:f>
              <c:strCache>
                <c:ptCount val="1"/>
                <c:pt idx="0">
                  <c:v>случайное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5.9730947356341334E-3"/>
                  <c:y val="1.1919570119608683E-2"/>
                </c:manualLayout>
              </c:layout>
              <c:showVal val="1"/>
            </c:dLbl>
            <c:dLbl>
              <c:idx val="1"/>
              <c:layout>
                <c:manualLayout>
                  <c:x val="9.955157892723554E-3"/>
                  <c:y val="3.9731900398695588E-3"/>
                </c:manualLayout>
              </c:layout>
              <c:showVal val="1"/>
            </c:dLbl>
            <c:dLbl>
              <c:idx val="2"/>
              <c:layout>
                <c:manualLayout>
                  <c:x val="5.9730947356341334E-3"/>
                  <c:y val="1.1919570119608683E-2"/>
                </c:manualLayout>
              </c:layout>
              <c:showVal val="1"/>
            </c:dLbl>
            <c:dLbl>
              <c:idx val="3"/>
              <c:layout>
                <c:manualLayout>
                  <c:x val="7.964126314178832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7.9641263141788984E-3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Лист1!$C$86:$G$86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Лист1!$C$87:$G$87</c:f>
              <c:numCache>
                <c:formatCode>General</c:formatCode>
                <c:ptCount val="5"/>
                <c:pt idx="0">
                  <c:v>64.099999999999994</c:v>
                </c:pt>
                <c:pt idx="1">
                  <c:v>62.3</c:v>
                </c:pt>
                <c:pt idx="2">
                  <c:v>60.3</c:v>
                </c:pt>
                <c:pt idx="3">
                  <c:v>63.1</c:v>
                </c:pt>
                <c:pt idx="4">
                  <c:v>59.8</c:v>
                </c:pt>
              </c:numCache>
            </c:numRef>
          </c:val>
        </c:ser>
        <c:ser>
          <c:idx val="1"/>
          <c:order val="1"/>
          <c:tx>
            <c:strRef>
              <c:f>Лист1!$B$88</c:f>
              <c:strCache>
                <c:ptCount val="1"/>
                <c:pt idx="0">
                  <c:v>преднамеренное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9.955157892723554E-3"/>
                  <c:y val="1.5892760159478221E-2"/>
                </c:manualLayout>
              </c:layout>
              <c:showVal val="1"/>
            </c:dLbl>
            <c:dLbl>
              <c:idx val="1"/>
              <c:layout>
                <c:manualLayout>
                  <c:x val="1.1946189471268262E-2"/>
                  <c:y val="1.1919570119608683E-2"/>
                </c:manualLayout>
              </c:layout>
              <c:showVal val="1"/>
            </c:dLbl>
            <c:dLbl>
              <c:idx val="2"/>
              <c:layout>
                <c:manualLayout>
                  <c:x val="7.9641263141788324E-3"/>
                  <c:y val="1.1919570119608683E-2"/>
                </c:manualLayout>
              </c:layout>
              <c:showVal val="1"/>
            </c:dLbl>
            <c:dLbl>
              <c:idx val="3"/>
              <c:layout>
                <c:manualLayout>
                  <c:x val="7.9641263141788324E-3"/>
                  <c:y val="2.3839140239217394E-2"/>
                </c:manualLayout>
              </c:layout>
              <c:showVal val="1"/>
            </c:dLbl>
            <c:dLbl>
              <c:idx val="4"/>
              <c:layout>
                <c:manualLayout>
                  <c:x val="9.9551578927236303E-3"/>
                  <c:y val="3.1785520318956435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Лист1!$C$86:$G$86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Лист1!$C$88:$G$88</c:f>
              <c:numCache>
                <c:formatCode>General</c:formatCode>
                <c:ptCount val="5"/>
                <c:pt idx="0">
                  <c:v>23.9</c:v>
                </c:pt>
                <c:pt idx="1">
                  <c:v>21.6</c:v>
                </c:pt>
                <c:pt idx="2">
                  <c:v>18.2</c:v>
                </c:pt>
                <c:pt idx="3">
                  <c:v>23.4</c:v>
                </c:pt>
                <c:pt idx="4">
                  <c:v>28.3</c:v>
                </c:pt>
              </c:numCache>
            </c:numRef>
          </c:val>
        </c:ser>
        <c:ser>
          <c:idx val="2"/>
          <c:order val="2"/>
          <c:tx>
            <c:strRef>
              <c:f>Лист1!$B$89</c:f>
              <c:strCache>
                <c:ptCount val="1"/>
                <c:pt idx="0">
                  <c:v>неопределенное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7.9641263141788324E-3"/>
                  <c:y val="1.8210243983109754E-17"/>
                </c:manualLayout>
              </c:layout>
              <c:showVal val="1"/>
            </c:dLbl>
            <c:dLbl>
              <c:idx val="1"/>
              <c:layout>
                <c:manualLayout>
                  <c:x val="9.955157892723554E-3"/>
                  <c:y val="7.9463800797391123E-3"/>
                </c:manualLayout>
              </c:layout>
              <c:showVal val="1"/>
            </c:dLbl>
            <c:dLbl>
              <c:idx val="2"/>
              <c:layout>
                <c:manualLayout>
                  <c:x val="1.1946189471268262E-2"/>
                  <c:y val="-3.9731900398695752E-3"/>
                </c:manualLayout>
              </c:layout>
              <c:showVal val="1"/>
            </c:dLbl>
            <c:dLbl>
              <c:idx val="3"/>
              <c:layout>
                <c:manualLayout>
                  <c:x val="9.955157892723554E-3"/>
                  <c:y val="7.9463800797391123E-3"/>
                </c:manualLayout>
              </c:layout>
              <c:showVal val="1"/>
            </c:dLbl>
            <c:dLbl>
              <c:idx val="4"/>
              <c:layout>
                <c:manualLayout>
                  <c:x val="1.3937221049812966E-2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Лист1!$C$86:$G$86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Лист1!$C$89:$G$89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16.100000000000001</c:v>
                </c:pt>
                <c:pt idx="2">
                  <c:v>21.4</c:v>
                </c:pt>
                <c:pt idx="3">
                  <c:v>15.5</c:v>
                </c:pt>
                <c:pt idx="4">
                  <c:v>11.9</c:v>
                </c:pt>
              </c:numCache>
            </c:numRef>
          </c:val>
        </c:ser>
        <c:shape val="cylinder"/>
        <c:axId val="134816896"/>
        <c:axId val="134818432"/>
        <c:axId val="0"/>
      </c:bar3DChart>
      <c:catAx>
        <c:axId val="134816896"/>
        <c:scaling>
          <c:orientation val="minMax"/>
        </c:scaling>
        <c:axPos val="b"/>
        <c:tickLblPos val="nextTo"/>
        <c:crossAx val="134818432"/>
        <c:crosses val="autoZero"/>
        <c:auto val="1"/>
        <c:lblAlgn val="ctr"/>
        <c:lblOffset val="100"/>
      </c:catAx>
      <c:valAx>
        <c:axId val="134818432"/>
        <c:scaling>
          <c:orientation val="minMax"/>
        </c:scaling>
        <c:delete val="1"/>
        <c:axPos val="l"/>
        <c:numFmt formatCode="0%" sourceLinked="1"/>
        <c:tickLblPos val="none"/>
        <c:crossAx val="13481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3881002496125"/>
          <c:y val="0.10127588218139402"/>
          <c:w val="0.17310498976468627"/>
          <c:h val="0.8159663896179631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Лист1!$B$104</c:f>
              <c:strCache>
                <c:ptCount val="1"/>
                <c:pt idx="0">
                  <c:v>безработные  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Лист1!$C$103:$G$103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Лист1!$C$104:$G$104</c:f>
              <c:numCache>
                <c:formatCode>0.0%</c:formatCode>
                <c:ptCount val="5"/>
                <c:pt idx="0">
                  <c:v>0.38700000000000018</c:v>
                </c:pt>
                <c:pt idx="1">
                  <c:v>0.43300000000000016</c:v>
                </c:pt>
                <c:pt idx="2">
                  <c:v>0.43600000000000017</c:v>
                </c:pt>
                <c:pt idx="3">
                  <c:v>0.39600000000000024</c:v>
                </c:pt>
                <c:pt idx="4">
                  <c:v>0.39500000000000024</c:v>
                </c:pt>
              </c:numCache>
            </c:numRef>
          </c:val>
        </c:ser>
        <c:ser>
          <c:idx val="1"/>
          <c:order val="1"/>
          <c:tx>
            <c:strRef>
              <c:f>Лист1!$B$105</c:f>
              <c:strCache>
                <c:ptCount val="1"/>
                <c:pt idx="0">
                  <c:v>пенсионеры 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Лист1!$C$103:$G$103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Лист1!$C$105:$G$105</c:f>
              <c:numCache>
                <c:formatCode>0.0%</c:formatCode>
                <c:ptCount val="5"/>
                <c:pt idx="0">
                  <c:v>0.26100000000000001</c:v>
                </c:pt>
                <c:pt idx="1">
                  <c:v>0.24600000000000008</c:v>
                </c:pt>
                <c:pt idx="2">
                  <c:v>0.28500000000000014</c:v>
                </c:pt>
                <c:pt idx="3">
                  <c:v>0.253</c:v>
                </c:pt>
                <c:pt idx="4">
                  <c:v>0.15500000000000008</c:v>
                </c:pt>
              </c:numCache>
            </c:numRef>
          </c:val>
        </c:ser>
        <c:ser>
          <c:idx val="2"/>
          <c:order val="2"/>
          <c:tx>
            <c:strRef>
              <c:f>Лист1!$B$106</c:f>
              <c:strCache>
                <c:ptCount val="1"/>
                <c:pt idx="0">
                  <c:v>работающее население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Лист1!$C$103:$G$103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Лист1!$C$106:$G$106</c:f>
              <c:numCache>
                <c:formatCode>0.0%</c:formatCode>
                <c:ptCount val="5"/>
                <c:pt idx="0">
                  <c:v>0.21400000000000008</c:v>
                </c:pt>
                <c:pt idx="1">
                  <c:v>0.18100000000000008</c:v>
                </c:pt>
                <c:pt idx="2">
                  <c:v>0.14900000000000008</c:v>
                </c:pt>
                <c:pt idx="3">
                  <c:v>0.11700000000000002</c:v>
                </c:pt>
                <c:pt idx="4">
                  <c:v>0.161</c:v>
                </c:pt>
              </c:numCache>
            </c:numRef>
          </c:val>
        </c:ser>
        <c:ser>
          <c:idx val="3"/>
          <c:order val="3"/>
          <c:tx>
            <c:strRef>
              <c:f>Лист1!$B$107</c:f>
              <c:strCache>
                <c:ptCount val="1"/>
                <c:pt idx="0">
                  <c:v> школьники (7-17 лет) 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2.0736505147796584E-3"/>
                  <c:y val="4.0436008424699094E-3"/>
                </c:manualLayout>
              </c:layout>
              <c:showVal val="1"/>
            </c:dLbl>
            <c:dLbl>
              <c:idx val="1"/>
              <c:layout>
                <c:manualLayout>
                  <c:x val="-4.1473010295593167E-3"/>
                  <c:y val="1.2130802527409718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Лист1!$C$103:$G$103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Лист1!$C$107:$G$107</c:f>
              <c:numCache>
                <c:formatCode>0.0%</c:formatCode>
                <c:ptCount val="5"/>
                <c:pt idx="0">
                  <c:v>7.0999999999999994E-2</c:v>
                </c:pt>
                <c:pt idx="1">
                  <c:v>5.8000000000000003E-2</c:v>
                </c:pt>
                <c:pt idx="2">
                  <c:v>6.0000000000000026E-2</c:v>
                </c:pt>
                <c:pt idx="3">
                  <c:v>0.11</c:v>
                </c:pt>
                <c:pt idx="4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Лист1!$B$108</c:f>
              <c:strCache>
                <c:ptCount val="1"/>
                <c:pt idx="0">
                  <c:v>учащиеся (проф.училищ, техникумов, ВУЗов) 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2.4297469248334338E-2"/>
                  <c:y val="-5.7048521618140814E-2"/>
                </c:manualLayout>
              </c:layout>
              <c:showVal val="1"/>
            </c:dLbl>
            <c:dLbl>
              <c:idx val="1"/>
              <c:layout>
                <c:manualLayout>
                  <c:x val="-1.9802709297873387E-2"/>
                  <c:y val="-6.917932414555053E-2"/>
                </c:manualLayout>
              </c:layout>
              <c:showVal val="1"/>
            </c:dLbl>
            <c:dLbl>
              <c:idx val="2"/>
              <c:layout>
                <c:manualLayout>
                  <c:x val="-1.214881626395118E-2"/>
                  <c:y val="-4.8851792477310467E-2"/>
                </c:manualLayout>
              </c:layout>
              <c:showVal val="1"/>
            </c:dLbl>
            <c:dLbl>
              <c:idx val="3"/>
              <c:layout>
                <c:manualLayout>
                  <c:x val="-3.9518553865521312E-3"/>
                  <c:y val="-6.1092122460610722E-2"/>
                </c:manualLayout>
              </c:layout>
              <c:showVal val="1"/>
            </c:dLbl>
            <c:dLbl>
              <c:idx val="4"/>
              <c:layout>
                <c:manualLayout>
                  <c:x val="4.8856512364754264E-3"/>
                  <c:y val="-5.56275302354681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Лист1!$C$103:$G$103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Лист1!$C$108:$G$108</c:f>
              <c:numCache>
                <c:formatCode>0.0%</c:formatCode>
                <c:ptCount val="5"/>
                <c:pt idx="0">
                  <c:v>2.5000000000000001E-2</c:v>
                </c:pt>
                <c:pt idx="1">
                  <c:v>1.7999999999999999E-2</c:v>
                </c:pt>
                <c:pt idx="2">
                  <c:v>5.0000000000000027E-3</c:v>
                </c:pt>
                <c:pt idx="3">
                  <c:v>2.5000000000000001E-2</c:v>
                </c:pt>
                <c:pt idx="4">
                  <c:v>1.7999999999999999E-2</c:v>
                </c:pt>
              </c:numCache>
            </c:numRef>
          </c:val>
        </c:ser>
        <c:shape val="cylinder"/>
        <c:axId val="143534720"/>
        <c:axId val="143548800"/>
        <c:axId val="0"/>
      </c:bar3DChart>
      <c:catAx>
        <c:axId val="143534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548800"/>
        <c:crosses val="autoZero"/>
        <c:auto val="1"/>
        <c:lblAlgn val="ctr"/>
        <c:lblOffset val="100"/>
      </c:catAx>
      <c:valAx>
        <c:axId val="143548800"/>
        <c:scaling>
          <c:orientation val="minMax"/>
        </c:scaling>
        <c:delete val="1"/>
        <c:axPos val="l"/>
        <c:numFmt formatCode="0%" sourceLinked="1"/>
        <c:tickLblPos val="none"/>
        <c:crossAx val="14353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81364226716263"/>
          <c:y val="1.0362505916268687E-2"/>
          <c:w val="0.23800151272709741"/>
          <c:h val="0.98963749408373169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Лист1!$B$126:$B$131</c:f>
              <c:strCache>
                <c:ptCount val="6"/>
                <c:pt idx="0">
                  <c:v>Всего острых отравлений наркотическими веществами</c:v>
                </c:pt>
                <c:pt idx="1">
                  <c:v>Другими опиоидами (кодеин, морфин) (Т 40.2)</c:v>
                </c:pt>
                <c:pt idx="2">
                  <c:v>Другие неуточненные наркотики (Т 40.6)</c:v>
                </c:pt>
                <c:pt idx="3">
                  <c:v>Каннабисом (производными) (Т40.7)</c:v>
                </c:pt>
                <c:pt idx="4">
                  <c:v>Героином  (Т 40.1)</c:v>
                </c:pt>
                <c:pt idx="5">
                  <c:v>Кокаином (Т 40.5)</c:v>
                </c:pt>
              </c:strCache>
            </c:strRef>
          </c:cat>
          <c:val>
            <c:numRef>
              <c:f>Лист1!$C$126:$C$131</c:f>
              <c:numCache>
                <c:formatCode>General</c:formatCode>
                <c:ptCount val="6"/>
                <c:pt idx="0">
                  <c:v>20</c:v>
                </c:pt>
                <c:pt idx="1">
                  <c:v>9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143564800"/>
        <c:axId val="143566336"/>
      </c:barChart>
      <c:catAx>
        <c:axId val="14356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566336"/>
        <c:crosses val="autoZero"/>
        <c:auto val="1"/>
        <c:lblAlgn val="ctr"/>
        <c:lblOffset val="100"/>
      </c:catAx>
      <c:valAx>
        <c:axId val="143566336"/>
        <c:scaling>
          <c:orientation val="minMax"/>
        </c:scaling>
        <c:axPos val="l"/>
        <c:numFmt formatCode="General" sourceLinked="1"/>
        <c:tickLblPos val="nextTo"/>
        <c:crossAx val="14356480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7543859649122844E-2"/>
          <c:y val="3.8495188101487311E-2"/>
          <c:w val="0.80147358374461486"/>
          <c:h val="0.871642107728659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Лист1!$B$145</c:f>
              <c:strCache>
                <c:ptCount val="1"/>
                <c:pt idx="0">
                  <c:v>алкогольные отравления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"/>
                  <c:y val="-2.79965004374453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7497812773403322E-2"/>
                </c:manualLayout>
              </c:layout>
              <c:showVal val="1"/>
            </c:dLbl>
            <c:dLbl>
              <c:idx val="2"/>
              <c:layout>
                <c:manualLayout>
                  <c:x val="7.9744816586921913E-3"/>
                  <c:y val="-2.0997375328084024E-2"/>
                </c:manualLayout>
              </c:layout>
              <c:showVal val="1"/>
            </c:dLbl>
            <c:dLbl>
              <c:idx val="3"/>
              <c:layout>
                <c:manualLayout>
                  <c:x val="9.5693779904306216E-3"/>
                  <c:y val="-2.0997375328084024E-2"/>
                </c:manualLayout>
              </c:layout>
              <c:showVal val="1"/>
            </c:dLbl>
            <c:dLbl>
              <c:idx val="4"/>
              <c:layout>
                <c:manualLayout>
                  <c:x val="1.2759170653907513E-2"/>
                  <c:y val="-1.749781277340332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Лист1!$C$144:$G$144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Лист1!$C$145:$G$145</c:f>
              <c:numCache>
                <c:formatCode>General</c:formatCode>
                <c:ptCount val="5"/>
                <c:pt idx="0">
                  <c:v>196</c:v>
                </c:pt>
                <c:pt idx="1">
                  <c:v>165</c:v>
                </c:pt>
                <c:pt idx="2">
                  <c:v>217</c:v>
                </c:pt>
                <c:pt idx="3">
                  <c:v>122</c:v>
                </c:pt>
                <c:pt idx="4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Лист1!$B$146</c:f>
              <c:strCache>
                <c:ptCount val="1"/>
                <c:pt idx="0">
                  <c:v>летальный исход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4354066985645914E-2"/>
                  <c:y val="-1.0498687664042029E-2"/>
                </c:manualLayout>
              </c:layout>
              <c:showVal val="1"/>
            </c:dLbl>
            <c:dLbl>
              <c:idx val="1"/>
              <c:layout>
                <c:manualLayout>
                  <c:x val="1.4354066985645914E-2"/>
                  <c:y val="-1.3998250218722676E-2"/>
                </c:manualLayout>
              </c:layout>
              <c:showVal val="1"/>
            </c:dLbl>
            <c:dLbl>
              <c:idx val="2"/>
              <c:layout>
                <c:manualLayout>
                  <c:x val="1.4354066985645914E-2"/>
                  <c:y val="-1.0498687664041988E-2"/>
                </c:manualLayout>
              </c:layout>
              <c:showVal val="1"/>
            </c:dLbl>
            <c:dLbl>
              <c:idx val="3"/>
              <c:layout>
                <c:manualLayout>
                  <c:x val="1.9138755980861243E-2"/>
                  <c:y val="-1.3998250218722676E-2"/>
                </c:manualLayout>
              </c:layout>
              <c:showVal val="1"/>
            </c:dLbl>
            <c:dLbl>
              <c:idx val="4"/>
              <c:layout>
                <c:manualLayout>
                  <c:x val="1.2759170653907513E-2"/>
                  <c:y val="-1.049868766404198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Лист1!$C$144:$G$144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Лист1!$C$146:$G$146</c:f>
              <c:numCache>
                <c:formatCode>General</c:formatCode>
                <c:ptCount val="5"/>
                <c:pt idx="0">
                  <c:v>169</c:v>
                </c:pt>
                <c:pt idx="1">
                  <c:v>140</c:v>
                </c:pt>
                <c:pt idx="2">
                  <c:v>181</c:v>
                </c:pt>
                <c:pt idx="3">
                  <c:v>101</c:v>
                </c:pt>
                <c:pt idx="4">
                  <c:v>55</c:v>
                </c:pt>
              </c:numCache>
            </c:numRef>
          </c:val>
        </c:ser>
        <c:shape val="cylinder"/>
        <c:axId val="143583488"/>
        <c:axId val="143634432"/>
        <c:axId val="0"/>
      </c:bar3DChart>
      <c:catAx>
        <c:axId val="143583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34432"/>
        <c:crosses val="autoZero"/>
        <c:auto val="1"/>
        <c:lblAlgn val="ctr"/>
        <c:lblOffset val="100"/>
      </c:catAx>
      <c:valAx>
        <c:axId val="143634432"/>
        <c:scaling>
          <c:orientation val="minMax"/>
        </c:scaling>
        <c:delete val="1"/>
        <c:axPos val="l"/>
        <c:numFmt formatCode="General" sourceLinked="1"/>
        <c:tickLblPos val="none"/>
        <c:crossAx val="1435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85316907156879"/>
          <c:y val="0.1774903727585235"/>
          <c:w val="0.18257745293800001"/>
          <c:h val="0.64151941637216714"/>
        </c:manualLayout>
      </c:layout>
      <c:txPr>
        <a:bodyPr/>
        <a:lstStyle/>
        <a:p>
          <a:pPr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0.62609</cdr:x>
      <cdr:y>0</cdr:y>
    </cdr:from>
    <cdr:to>
      <cdr:x>0.76641</cdr:x>
      <cdr:y>0.12166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01009" y="0"/>
          <a:ext cx="695004" cy="2804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0.64202</cdr:x>
      <cdr:y>0</cdr:y>
    </cdr:from>
    <cdr:to>
      <cdr:x>0.77637</cdr:x>
      <cdr:y>0.10223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66311" y="0"/>
          <a:ext cx="746280" cy="221848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0.75953</cdr:x>
      <cdr:y>0.17096</cdr:y>
    </cdr:from>
    <cdr:to>
      <cdr:x>1</cdr:x>
      <cdr:y>0.39578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43926" y="695326"/>
          <a:ext cx="27051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20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Sgm18kab</cp:lastModifiedBy>
  <cp:revision>19</cp:revision>
  <cp:lastPrinted>2018-05-24T07:59:00Z</cp:lastPrinted>
  <dcterms:created xsi:type="dcterms:W3CDTF">2021-03-23T13:38:00Z</dcterms:created>
  <dcterms:modified xsi:type="dcterms:W3CDTF">2021-12-05T06:28:00Z</dcterms:modified>
</cp:coreProperties>
</file>