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13" w:rsidRPr="00CC4613" w:rsidRDefault="00CC4613" w:rsidP="00CC4613">
      <w:pPr>
        <w:pStyle w:val="2"/>
        <w:spacing w:after="0" w:line="276" w:lineRule="auto"/>
        <w:contextualSpacing/>
        <w:jc w:val="center"/>
        <w:rPr>
          <w:b/>
          <w:sz w:val="28"/>
          <w:szCs w:val="28"/>
        </w:rPr>
      </w:pPr>
      <w:r w:rsidRPr="00CC4613">
        <w:rPr>
          <w:b/>
          <w:sz w:val="28"/>
          <w:szCs w:val="28"/>
        </w:rPr>
        <w:t>ИНФОРМАЦИОННЫЙ БЮЛЛЕТЕНЬ</w:t>
      </w:r>
    </w:p>
    <w:p w:rsidR="00CC4613" w:rsidRPr="00CC4613" w:rsidRDefault="00CC4613" w:rsidP="00CC4613">
      <w:pPr>
        <w:contextualSpacing/>
        <w:jc w:val="center"/>
        <w:rPr>
          <w:rFonts w:ascii="Times New Roman" w:hAnsi="Times New Roman" w:cs="Times New Roman"/>
          <w:b/>
        </w:rPr>
      </w:pPr>
    </w:p>
    <w:p w:rsidR="00CC4613" w:rsidRPr="00CC4613" w:rsidRDefault="00CC4613" w:rsidP="00CC46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13">
        <w:rPr>
          <w:rFonts w:ascii="Times New Roman" w:hAnsi="Times New Roman" w:cs="Times New Roman"/>
          <w:b/>
          <w:sz w:val="28"/>
          <w:szCs w:val="28"/>
        </w:rPr>
        <w:t>Результаты мониторинга острых отравлений химической этиологии</w:t>
      </w:r>
    </w:p>
    <w:p w:rsidR="00CC4613" w:rsidRDefault="00CC4613" w:rsidP="00CC4613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13">
        <w:rPr>
          <w:rFonts w:ascii="Times New Roman" w:hAnsi="Times New Roman" w:cs="Times New Roman"/>
          <w:b/>
          <w:sz w:val="28"/>
          <w:szCs w:val="28"/>
        </w:rPr>
        <w:t>в Костромской области</w:t>
      </w:r>
    </w:p>
    <w:p w:rsidR="000913FC" w:rsidRDefault="000913FC" w:rsidP="00CC4613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FC" w:rsidRDefault="000913FC" w:rsidP="000913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C461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CC461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4613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p w:rsidR="000913FC" w:rsidRPr="000913FC" w:rsidRDefault="000913FC" w:rsidP="000913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50C" w:rsidRDefault="00CC206D" w:rsidP="00B33F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данным токсикологического мониторинга за </w:t>
      </w:r>
      <w:r w:rsidR="00CC461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2017 года в К</w:t>
      </w:r>
      <w:r w:rsidR="00CC461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остромской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 зарегистрировано </w:t>
      </w:r>
      <w:r w:rsidR="000D450C">
        <w:rPr>
          <w:rFonts w:ascii="Times New Roman" w:eastAsia="Times New Roman" w:hAnsi="Times New Roman" w:cs="Times New Roman"/>
          <w:sz w:val="28"/>
          <w:szCs w:val="24"/>
          <w:lang w:eastAsia="ru-RU"/>
        </w:rPr>
        <w:t>97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</w:t>
      </w:r>
      <w:r w:rsidR="000D450C">
        <w:rPr>
          <w:rFonts w:ascii="Times New Roman" w:eastAsia="Times New Roman" w:hAnsi="Times New Roman" w:cs="Times New Roman"/>
          <w:sz w:val="28"/>
          <w:szCs w:val="24"/>
          <w:lang w:eastAsia="ru-RU"/>
        </w:rPr>
        <w:t>ев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острых отравлений химической этиологии (ООХЭ), что </w:t>
      </w:r>
      <w:r w:rsidR="000D450C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аналогичного периода 2016 года (</w:t>
      </w:r>
      <w:r w:rsidR="000D450C">
        <w:rPr>
          <w:rFonts w:ascii="Times New Roman" w:eastAsia="Times New Roman" w:hAnsi="Times New Roman" w:cs="Times New Roman"/>
          <w:sz w:val="28"/>
          <w:szCs w:val="24"/>
          <w:lang w:eastAsia="ru-RU"/>
        </w:rPr>
        <w:t>64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сл., темп </w:t>
      </w:r>
      <w:r w:rsidR="000D450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роста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показателя распространенности ООХЭ составил </w:t>
      </w:r>
      <w:r w:rsidR="000913FC" w:rsidRPr="000913FC">
        <w:rPr>
          <w:rFonts w:ascii="Times New Roman" w:eastAsia="Times New Roman" w:hAnsi="Times New Roman" w:cs="Times New Roman"/>
          <w:sz w:val="28"/>
          <w:szCs w:val="24"/>
          <w:lang w:eastAsia="ru-RU"/>
        </w:rPr>
        <w:t>34</w:t>
      </w:r>
      <w:r w:rsidRPr="000913FC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  <w:r w:rsidR="000D450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оказатель смертности от острых бытовых отравлений в сравнении с</w:t>
      </w:r>
      <w:r w:rsidR="000D450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450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кварталом 201</w:t>
      </w:r>
      <w:r w:rsid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0D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тоже 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имеет тенденцию к росту (на </w:t>
      </w:r>
      <w:r w:rsidR="000D450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%)</w:t>
      </w:r>
      <w:r w:rsidR="000D45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C206D" w:rsidRPr="00CC206D" w:rsidRDefault="00CC206D" w:rsidP="00B33F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Этиологическая структура бытовых отравлений по сравнению с аналогичным периодом 201</w:t>
      </w:r>
      <w:r w:rsid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2B7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изменилась. Отравления алкоголем и его суррогатами по-прежнему занимают 1 место в структуре ООХЭ, их доля </w:t>
      </w:r>
      <w:r w:rsidR="002B7249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увеличи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лась (с </w:t>
      </w:r>
      <w:r w:rsidR="002B7249">
        <w:rPr>
          <w:rFonts w:ascii="Times New Roman" w:eastAsia="Times New Roman" w:hAnsi="Times New Roman" w:cs="Times New Roman"/>
          <w:sz w:val="28"/>
          <w:szCs w:val="24"/>
          <w:lang w:eastAsia="ru-RU"/>
        </w:rPr>
        <w:t>48,4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до </w:t>
      </w:r>
      <w:r w:rsidR="002B7249">
        <w:rPr>
          <w:rFonts w:ascii="Times New Roman" w:eastAsia="Times New Roman" w:hAnsi="Times New Roman" w:cs="Times New Roman"/>
          <w:sz w:val="28"/>
          <w:szCs w:val="24"/>
          <w:lang w:eastAsia="ru-RU"/>
        </w:rPr>
        <w:t>50,5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%), а 2-е место по итогам </w:t>
      </w:r>
      <w:r w:rsidR="002B724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квартала стали занимать</w:t>
      </w:r>
      <w:r w:rsidR="002B7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прочие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отравления</w:t>
      </w:r>
      <w:r w:rsid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28,9% - 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>окисью углерода (</w:t>
      </w:r>
      <w:r w:rsidR="002B7249">
        <w:rPr>
          <w:rFonts w:ascii="Times New Roman" w:eastAsia="Times New Roman" w:hAnsi="Times New Roman" w:cs="Times New Roman"/>
          <w:sz w:val="28"/>
          <w:szCs w:val="24"/>
          <w:lang w:eastAsia="ru-RU"/>
        </w:rPr>
        <w:t>35,7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>%)</w:t>
      </w:r>
      <w:r w:rsidR="002B7249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токсическое действие галогенпроизводных  алифатических и ароматических углеводов (35,7%)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B7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2 квартале 2016 года доля прочих отравлений составляла </w:t>
      </w:r>
      <w:proofErr w:type="gramStart"/>
      <w:r w:rsidR="002B7249">
        <w:rPr>
          <w:rFonts w:ascii="Times New Roman" w:eastAsia="Times New Roman" w:hAnsi="Times New Roman" w:cs="Times New Roman"/>
          <w:sz w:val="28"/>
          <w:szCs w:val="24"/>
          <w:lang w:eastAsia="ru-RU"/>
        </w:rPr>
        <w:t>20,3</w:t>
      </w:r>
      <w:proofErr w:type="gramEnd"/>
      <w:r w:rsidR="002B7249">
        <w:rPr>
          <w:rFonts w:ascii="Times New Roman" w:eastAsia="Times New Roman" w:hAnsi="Times New Roman" w:cs="Times New Roman"/>
          <w:sz w:val="28"/>
          <w:szCs w:val="24"/>
          <w:lang w:eastAsia="ru-RU"/>
        </w:rPr>
        <w:t>% и занимали 3 место.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Отравления лекарственными препаратами переместились на 3 место (</w:t>
      </w:r>
      <w:r w:rsidR="002B7249">
        <w:rPr>
          <w:rFonts w:ascii="Times New Roman" w:eastAsia="Times New Roman" w:hAnsi="Times New Roman" w:cs="Times New Roman"/>
          <w:sz w:val="28"/>
          <w:szCs w:val="24"/>
          <w:lang w:eastAsia="ru-RU"/>
        </w:rPr>
        <w:t>18,6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%). Доля отравлений наркотическими и </w:t>
      </w:r>
      <w:proofErr w:type="spellStart"/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психоактивными</w:t>
      </w:r>
      <w:proofErr w:type="spellEnd"/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веществами, используемыми с целью одурманивания, снизилась с </w:t>
      </w:r>
      <w:r w:rsidR="002B7249">
        <w:rPr>
          <w:rFonts w:ascii="Times New Roman" w:eastAsia="Times New Roman" w:hAnsi="Times New Roman" w:cs="Times New Roman"/>
          <w:sz w:val="28"/>
          <w:szCs w:val="24"/>
          <w:lang w:eastAsia="ru-RU"/>
        </w:rPr>
        <w:t>4,7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до </w:t>
      </w:r>
      <w:r w:rsidR="002B7249">
        <w:rPr>
          <w:rFonts w:ascii="Times New Roman" w:eastAsia="Times New Roman" w:hAnsi="Times New Roman" w:cs="Times New Roman"/>
          <w:sz w:val="28"/>
          <w:szCs w:val="24"/>
          <w:lang w:eastAsia="ru-RU"/>
        </w:rPr>
        <w:t>2,1</w:t>
      </w:r>
      <w:r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CC206D" w:rsidRPr="00CC206D" w:rsidRDefault="000648E6" w:rsidP="00CC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38825" cy="3877310"/>
            <wp:effectExtent l="19050" t="0" r="9525" b="889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648E6" w:rsidRDefault="000648E6" w:rsidP="00CC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06D" w:rsidRPr="00CC206D" w:rsidRDefault="00CC206D" w:rsidP="00CC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 Этиологическая структура ООХЭ по данным за </w:t>
      </w:r>
      <w:r w:rsidR="0006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CC2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2017 г.</w:t>
      </w:r>
    </w:p>
    <w:p w:rsidR="00CC206D" w:rsidRPr="006A588C" w:rsidRDefault="00CC206D" w:rsidP="00064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0648E6"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48E6"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квартале текущего года зарегистрировано </w:t>
      </w:r>
      <w:r w:rsidR="000648E6"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49</w:t>
      </w: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58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отравлений спиртсодержащей продукцией</w:t>
      </w: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аналогичный период 2016 года – </w:t>
      </w:r>
      <w:r w:rsidR="000648E6"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случай, рис. 2).</w:t>
      </w:r>
    </w:p>
    <w:p w:rsidR="00CC206D" w:rsidRPr="006A588C" w:rsidRDefault="00CC206D" w:rsidP="00064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Отравления данной группы регистрируются у мужчин в </w:t>
      </w:r>
      <w:r w:rsidR="00C0536E"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3,5</w:t>
      </w: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раза чаще, чем у женщин. Среди пострадавших мужчины</w:t>
      </w:r>
      <w:r w:rsidR="00C0536E"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женщины</w:t>
      </w: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трудоспособного возраста составляют </w:t>
      </w:r>
      <w:r w:rsidR="00CE3DA1"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63,1</w:t>
      </w: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% (18-59 лет).</w:t>
      </w:r>
    </w:p>
    <w:p w:rsidR="00CC206D" w:rsidRPr="006A588C" w:rsidRDefault="00CC206D" w:rsidP="00064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Отравления алкоголем и его суррогатами являются наиболее частыми причинами летальных исходов от острых отравлений химической этиологии, их доля в структуре причин смертельных исходов в</w:t>
      </w:r>
      <w:r w:rsidR="00CE3DA1"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E3DA1"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квартале </w:t>
      </w:r>
      <w:r w:rsidR="00CE3DA1"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увеличилась</w:t>
      </w: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</w:t>
      </w:r>
      <w:r w:rsid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48,4</w:t>
      </w: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до </w:t>
      </w:r>
      <w:r w:rsid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50,5</w:t>
      </w: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%). В</w:t>
      </w:r>
      <w:r w:rsidR="00CE3DA1"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E3DA1"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квартале 2017 года показатель смертности в группе отравлений спиртсодержащей продукцией </w:t>
      </w:r>
      <w:r w:rsidR="006A588C"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увеличился</w:t>
      </w: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аналогичному периоду 2016 года </w:t>
      </w:r>
      <w:r w:rsidR="006A588C"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с 78,8</w:t>
      </w: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6A588C"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86,3%</w:t>
      </w: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C206D" w:rsidRPr="006A588C" w:rsidRDefault="00CC206D" w:rsidP="00064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всех случаев смертельных исходов вследствие отравлений спиртсодержащей продукцией </w:t>
      </w:r>
      <w:r w:rsidR="00123A90">
        <w:rPr>
          <w:rFonts w:ascii="Times New Roman" w:eastAsia="Times New Roman" w:hAnsi="Times New Roman" w:cs="Times New Roman"/>
          <w:sz w:val="28"/>
          <w:szCs w:val="24"/>
          <w:lang w:eastAsia="ru-RU"/>
        </w:rPr>
        <w:t>70,5</w:t>
      </w: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приходится на отравления этанолом при употреблении чрезмерного количества крепких алкогольных напитков; </w:t>
      </w:r>
      <w:r w:rsidR="00123A90">
        <w:rPr>
          <w:rFonts w:ascii="Times New Roman" w:eastAsia="Times New Roman" w:hAnsi="Times New Roman" w:cs="Times New Roman"/>
          <w:sz w:val="28"/>
          <w:szCs w:val="24"/>
          <w:lang w:eastAsia="ru-RU"/>
        </w:rPr>
        <w:t>20,5</w:t>
      </w:r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- на отравления </w:t>
      </w:r>
      <w:proofErr w:type="spellStart"/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неуточненными</w:t>
      </w:r>
      <w:proofErr w:type="spellEnd"/>
      <w:r w:rsidRPr="006A5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спиртами.</w:t>
      </w:r>
    </w:p>
    <w:p w:rsidR="00CC206D" w:rsidRPr="00CC206D" w:rsidRDefault="002F0112" w:rsidP="00CC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5025" cy="3467100"/>
            <wp:effectExtent l="38100" t="1905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0112" w:rsidRDefault="002F0112" w:rsidP="00CC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06D" w:rsidRPr="00CC206D" w:rsidRDefault="00CC206D" w:rsidP="00CC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 Динамика острых отравлений спиртсодержащей продукцией в К</w:t>
      </w:r>
      <w:r w:rsid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остромской</w:t>
      </w:r>
      <w:r w:rsidR="002F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во 2</w:t>
      </w:r>
      <w:r w:rsidRPr="00CC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20</w:t>
      </w:r>
      <w:r w:rsidR="002F011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C206D">
        <w:rPr>
          <w:rFonts w:ascii="Times New Roman" w:eastAsia="Times New Roman" w:hAnsi="Times New Roman" w:cs="Times New Roman"/>
          <w:sz w:val="24"/>
          <w:szCs w:val="24"/>
          <w:lang w:eastAsia="ru-RU"/>
        </w:rPr>
        <w:t>-2017 гг.</w:t>
      </w:r>
    </w:p>
    <w:p w:rsidR="00CC206D" w:rsidRPr="00123A90" w:rsidRDefault="00CC206D" w:rsidP="002F0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3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II месте в структуре ООХЭ по данным </w:t>
      </w:r>
      <w:r w:rsidR="002F011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23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квартала 2017 года находятся</w:t>
      </w:r>
      <w:r w:rsidRPr="00123A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2F011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прочие</w:t>
      </w:r>
      <w:r w:rsidR="002F0112" w:rsidRPr="00CC2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отравления</w:t>
      </w:r>
      <w:r w:rsid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123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указанный период зарегистрировано </w:t>
      </w:r>
      <w:r w:rsid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Pr="00123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таких отравлений (</w:t>
      </w:r>
      <w:r w:rsid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кв. 2016 года – 13), </w:t>
      </w:r>
      <w:r w:rsidRPr="00123A90">
        <w:rPr>
          <w:rFonts w:ascii="Times New Roman" w:eastAsia="Times New Roman" w:hAnsi="Times New Roman" w:cs="Times New Roman"/>
          <w:sz w:val="28"/>
          <w:szCs w:val="24"/>
          <w:lang w:eastAsia="ru-RU"/>
        </w:rPr>
        <w:t>5 из них закончились летальным исходом (</w:t>
      </w:r>
      <w:r w:rsid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23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2016 г</w:t>
      </w:r>
      <w:r w:rsidR="007757F0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</w:t>
      </w:r>
      <w:r w:rsidRPr="00123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23A90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C206D" w:rsidRPr="00EC6A04" w:rsidRDefault="00CC206D" w:rsidP="00EC6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III месте в структуре ООХЭ находятся </w:t>
      </w:r>
      <w:r w:rsidRPr="00EC6A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отравления лекарственными препаратами</w:t>
      </w:r>
      <w:r w:rsid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>. Во 2</w:t>
      </w: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2017 г</w:t>
      </w:r>
      <w:r w:rsidR="007757F0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</w:t>
      </w: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зарегистрировано </w:t>
      </w:r>
      <w:r w:rsid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</w:t>
      </w:r>
      <w:r w:rsid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5383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таких отравлений, без летальных исходов, из которых </w:t>
      </w:r>
      <w:r w:rsidR="00F53834">
        <w:rPr>
          <w:rFonts w:ascii="Times New Roman" w:eastAsia="Times New Roman" w:hAnsi="Times New Roman" w:cs="Times New Roman"/>
          <w:sz w:val="28"/>
          <w:szCs w:val="24"/>
          <w:lang w:eastAsia="ru-RU"/>
        </w:rPr>
        <w:t>33,3</w:t>
      </w: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были связаны с </w:t>
      </w:r>
      <w:r w:rsidR="00F5383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приемом противосудорожных, седативных, снотворных средств</w:t>
      </w: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53834">
        <w:rPr>
          <w:rFonts w:ascii="Times New Roman" w:eastAsia="Times New Roman" w:hAnsi="Times New Roman" w:cs="Times New Roman"/>
          <w:sz w:val="28"/>
          <w:szCs w:val="24"/>
          <w:lang w:eastAsia="ru-RU"/>
        </w:rPr>
        <w:t>16,7</w:t>
      </w: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- </w:t>
      </w:r>
      <w:r w:rsidR="00F53834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отравление психотропными средствами</w:t>
      </w: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</w:t>
      </w:r>
      <w:r w:rsidR="00F53834">
        <w:rPr>
          <w:rFonts w:ascii="Times New Roman" w:eastAsia="Times New Roman" w:hAnsi="Times New Roman" w:cs="Times New Roman"/>
          <w:sz w:val="28"/>
          <w:szCs w:val="24"/>
          <w:lang w:eastAsia="ru-RU"/>
        </w:rPr>
        <w:t>38,9</w:t>
      </w: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таких случаев пострадавшими являются дети </w:t>
      </w:r>
      <w:r w:rsidR="00F5383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 до 14</w:t>
      </w: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лет). </w:t>
      </w:r>
    </w:p>
    <w:p w:rsidR="00CC206D" w:rsidRDefault="00CC206D" w:rsidP="00EC6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A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Отравления, связанные с употреблением наркотических и </w:t>
      </w:r>
      <w:proofErr w:type="spellStart"/>
      <w:r w:rsidRPr="00EC6A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психоактивных</w:t>
      </w:r>
      <w:proofErr w:type="spellEnd"/>
      <w:r w:rsidRPr="00EC6A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веществ, используемых с целью одурманивания, </w:t>
      </w: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составили</w:t>
      </w:r>
      <w:r w:rsidR="00F538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2</w:t>
      </w: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квартале</w:t>
      </w:r>
      <w:r w:rsidR="00F538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>2017 г</w:t>
      </w:r>
      <w:r w:rsidR="007757F0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</w:t>
      </w:r>
      <w:r w:rsidR="00293A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,1% </w:t>
      </w:r>
      <w:r w:rsidR="00293A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(2 случая) </w:t>
      </w: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всех ООХЭ. Зарегистрирован 1 случай отравления </w:t>
      </w:r>
      <w:proofErr w:type="spellStart"/>
      <w:r w:rsidR="00293A5B">
        <w:rPr>
          <w:rFonts w:ascii="Times New Roman" w:eastAsia="Times New Roman" w:hAnsi="Times New Roman" w:cs="Times New Roman"/>
          <w:sz w:val="28"/>
          <w:szCs w:val="24"/>
          <w:lang w:eastAsia="ru-RU"/>
        </w:rPr>
        <w:t>опоидами</w:t>
      </w:r>
      <w:proofErr w:type="spellEnd"/>
      <w:r w:rsidR="00293A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(кодеин, морфин)</w:t>
      </w: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293A5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</w:t>
      </w:r>
      <w:r w:rsidR="00293A5B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отравлений </w:t>
      </w:r>
      <w:proofErr w:type="spellStart"/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>неуточненными</w:t>
      </w:r>
      <w:proofErr w:type="spellEnd"/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3A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наркотиками,</w:t>
      </w: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пострадавшие – лица мужского пола. Летальных исходов в данной группе отравлений </w:t>
      </w:r>
      <w:r w:rsidR="00293A5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составил 100%.</w:t>
      </w:r>
    </w:p>
    <w:p w:rsidR="00293A5B" w:rsidRPr="00EC6A04" w:rsidRDefault="00293A5B" w:rsidP="00EC6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 2 квартале 2017 года отмечается 1 случай отравления курительными смесями (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spice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4F61B2">
        <w:rPr>
          <w:rFonts w:ascii="Times New Roman" w:eastAsia="Times New Roman" w:hAnsi="Times New Roman" w:cs="Times New Roman"/>
          <w:sz w:val="28"/>
          <w:szCs w:val="24"/>
          <w:lang w:eastAsia="ru-RU"/>
        </w:rPr>
        <w:t>. Отравление зарегистрировано у учащегося 14 лет</w:t>
      </w:r>
      <w:r w:rsidR="00C34D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C206D" w:rsidRPr="00EC6A04" w:rsidRDefault="00CC206D" w:rsidP="00EC6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A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72F38" w:rsidRDefault="00E72F38"/>
    <w:sectPr w:rsidR="00E72F38" w:rsidSect="00C3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06D"/>
    <w:rsid w:val="000648E6"/>
    <w:rsid w:val="000913FC"/>
    <w:rsid w:val="000D450C"/>
    <w:rsid w:val="00123A90"/>
    <w:rsid w:val="0023105B"/>
    <w:rsid w:val="00293A5B"/>
    <w:rsid w:val="002B7249"/>
    <w:rsid w:val="002F0112"/>
    <w:rsid w:val="004D2ADD"/>
    <w:rsid w:val="004F61B2"/>
    <w:rsid w:val="00672A5A"/>
    <w:rsid w:val="006A588C"/>
    <w:rsid w:val="007757F0"/>
    <w:rsid w:val="009C4EB3"/>
    <w:rsid w:val="00B33FE4"/>
    <w:rsid w:val="00B61AD2"/>
    <w:rsid w:val="00C0536E"/>
    <w:rsid w:val="00C34D72"/>
    <w:rsid w:val="00C351F7"/>
    <w:rsid w:val="00CC206D"/>
    <w:rsid w:val="00CC4613"/>
    <w:rsid w:val="00CC7806"/>
    <w:rsid w:val="00CD7B6F"/>
    <w:rsid w:val="00CE3DA1"/>
    <w:rsid w:val="00CE6366"/>
    <w:rsid w:val="00E72F38"/>
    <w:rsid w:val="00EC6A04"/>
    <w:rsid w:val="00F5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06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C46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C4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4;&#1080;&#1096;&#1091;&#1083;&#1080;&#1085;&#1072;\&#1052;&#1054;&#1053;&#1048;&#1058;&#1054;&#1056;&#1048;&#1053;&#1043;\&#1058;&#1086;&#1082;&#1089;&#1080;&#1082;&#1086;&#1083;&#1086;&#1075;&#1080;&#1095;&#1077;&#1089;&#1082;&#1080;&#1081;%20&#1084;&#1086;&#1085;&#1080;&#1090;&#1086;&#1088;&#1080;&#1085;&#1075;\&#1076;&#1080;&#1072;&#1075;&#1088;&#1072;&#1084;&#1084;&#1072;%20&#1082;%20&#1072;&#1085;&#1072;&#1083;&#1080;&#1079;&#1091;%20&#1090;&#1086;&#1082;&#1089;&#1080;&#1082;&#1086;&#1083;&#1086;&#1075;.&#1084;&#1086;&#1085;&#1080;&#1090;&#1086;&#1088;&#1080;&#1085;&#1075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4;&#1080;&#1096;&#1091;&#1083;&#1080;&#1085;&#1072;\&#1052;&#1054;&#1053;&#1048;&#1058;&#1054;&#1056;&#1048;&#1053;&#1043;\&#1058;&#1086;&#1082;&#1089;&#1080;&#1082;&#1086;&#1083;&#1086;&#1075;&#1080;&#1095;&#1077;&#1089;&#1082;&#1080;&#1081;%20&#1084;&#1086;&#1085;&#1080;&#1090;&#1086;&#1088;&#1080;&#1085;&#1075;\&#1076;&#1080;&#1072;&#1075;&#1088;&#1072;&#1084;&#1084;&#1072;%20&#1082;%20&#1072;&#1085;&#1072;&#1083;&#1080;&#1079;&#1091;%20&#1090;&#1086;&#1082;&#1089;&#1080;&#1082;&#1086;&#1083;&#1086;&#1075;.&#1084;&#1086;&#1085;&#1080;&#1090;&#1086;&#1088;&#1080;&#1085;&#1075;&#1091;%202015%20&#1075;&#1086;&#1076;!!!!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0"/>
      <c:depthPercent val="40"/>
      <c:perspective val="0"/>
    </c:view3D>
    <c:plotArea>
      <c:layout>
        <c:manualLayout>
          <c:layoutTarget val="inner"/>
          <c:xMode val="edge"/>
          <c:yMode val="edge"/>
          <c:x val="9.1878464344499602E-2"/>
          <c:y val="0.10181196468314598"/>
          <c:w val="0.82076284532230059"/>
          <c:h val="0.79965207306465669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9966FF"/>
              </a:solidFill>
            </c:spPr>
          </c:dPt>
          <c:dPt>
            <c:idx val="1"/>
            <c:spPr>
              <a:solidFill>
                <a:srgbClr val="990000"/>
              </a:solidFill>
            </c:spPr>
          </c:dPt>
          <c:dPt>
            <c:idx val="2"/>
            <c:spPr>
              <a:solidFill>
                <a:srgbClr val="99CC00"/>
              </a:solidFill>
            </c:spPr>
          </c:dPt>
          <c:dPt>
            <c:idx val="3"/>
            <c:spPr>
              <a:solidFill>
                <a:srgbClr val="00CC99"/>
              </a:solidFill>
            </c:spPr>
          </c:dPt>
          <c:dPt>
            <c:idx val="4"/>
            <c:spPr>
              <a:solidFill>
                <a:srgbClr val="FF6699"/>
              </a:solidFill>
            </c:spPr>
          </c:dPt>
          <c:dLbls>
            <c:dLbl>
              <c:idx val="0"/>
              <c:layout>
                <c:manualLayout>
                  <c:x val="-0.13988700564971737"/>
                  <c:y val="0.1443215785894927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4.9475688420303435E-2"/>
                  <c:y val="9.8896580472549331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2.5494941191078688E-2"/>
                  <c:y val="-1.2945315179854073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1.1516101270375473E-2"/>
                  <c:y val="1.462018770745698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b="1">
                    <a:latin typeface="+mj-lt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Лист1!$A$95:$A$99</c:f>
              <c:strCache>
                <c:ptCount val="5"/>
                <c:pt idx="0">
                  <c:v>токсическое действие алкоголя</c:v>
                </c:pt>
                <c:pt idx="1">
                  <c:v>прочие</c:v>
                </c:pt>
                <c:pt idx="2">
                  <c:v>отравления лекарственными препаратами</c:v>
                </c:pt>
                <c:pt idx="3">
                  <c:v>отравления наркотиками</c:v>
                </c:pt>
                <c:pt idx="4">
                  <c:v>токсическое действие окиси углерода</c:v>
                </c:pt>
              </c:strCache>
            </c:strRef>
          </c:cat>
          <c:val>
            <c:numRef>
              <c:f>Лист1!$B$95:$B$99</c:f>
              <c:numCache>
                <c:formatCode>0.00%</c:formatCode>
                <c:ptCount val="5"/>
                <c:pt idx="0">
                  <c:v>0.505</c:v>
                </c:pt>
                <c:pt idx="1">
                  <c:v>0.28900000000000026</c:v>
                </c:pt>
                <c:pt idx="2">
                  <c:v>0.18600000000000014</c:v>
                </c:pt>
                <c:pt idx="3">
                  <c:v>2.1000000000000015E-2</c:v>
                </c:pt>
                <c:pt idx="4">
                  <c:v>0.10299999999999998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1988407699037624E-2"/>
          <c:y val="5.1400554097404488E-2"/>
          <c:w val="0.6324895013123355"/>
          <c:h val="0.83492709244677876"/>
        </c:manualLayout>
      </c:layout>
      <c:bar3DChart>
        <c:barDir val="col"/>
        <c:grouping val="clustered"/>
        <c:ser>
          <c:idx val="0"/>
          <c:order val="0"/>
          <c:tx>
            <c:strRef>
              <c:f>Лист2!$A$153:$B$153</c:f>
              <c:strCache>
                <c:ptCount val="1"/>
                <c:pt idx="0">
                  <c:v>отравления спиртсодержащей продукцией</c:v>
                </c:pt>
              </c:strCache>
            </c:strRef>
          </c:tx>
          <c:spPr>
            <a:solidFill>
              <a:srgbClr val="0066FF"/>
            </a:solidFill>
          </c:spPr>
          <c:dLbls>
            <c:dLbl>
              <c:idx val="3"/>
              <c:layout>
                <c:manualLayout>
                  <c:x val="4.5351473922902565E-3"/>
                  <c:y val="-2.197802197802199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strRef>
              <c:f>Лист2!$C$152:$F$152</c:f>
              <c:strCache>
                <c:ptCount val="4"/>
                <c:pt idx="0">
                  <c:v>2 кв.2014</c:v>
                </c:pt>
                <c:pt idx="1">
                  <c:v>2 кв.2015</c:v>
                </c:pt>
                <c:pt idx="2">
                  <c:v>2 кв.2016</c:v>
                </c:pt>
                <c:pt idx="3">
                  <c:v>2 кв.2017</c:v>
                </c:pt>
              </c:strCache>
            </c:strRef>
          </c:cat>
          <c:val>
            <c:numRef>
              <c:f>Лист2!$C$153:$F$153</c:f>
              <c:numCache>
                <c:formatCode>General</c:formatCode>
                <c:ptCount val="4"/>
                <c:pt idx="0">
                  <c:v>46</c:v>
                </c:pt>
                <c:pt idx="1">
                  <c:v>52</c:v>
                </c:pt>
                <c:pt idx="2">
                  <c:v>31</c:v>
                </c:pt>
                <c:pt idx="3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Лист2!$A$154:$B$154</c:f>
              <c:strCache>
                <c:ptCount val="1"/>
                <c:pt idx="0">
                  <c:v>из них с летальным исходом</c:v>
                </c:pt>
              </c:strCache>
            </c:strRef>
          </c:tx>
          <c:spPr>
            <a:solidFill>
              <a:srgbClr val="FF5050"/>
            </a:solidFill>
          </c:spPr>
          <c:dLbls>
            <c:dLbl>
              <c:idx val="0"/>
              <c:layout>
                <c:manualLayout>
                  <c:x val="1.360544217687075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3605442176870748E-2"/>
                  <c:y val="-7.3260073260073303E-3"/>
                </c:manualLayout>
              </c:layout>
              <c:showVal val="1"/>
            </c:dLbl>
            <c:dLbl>
              <c:idx val="2"/>
              <c:layout>
                <c:manualLayout>
                  <c:x val="6.8027210884353808E-3"/>
                  <c:y val="-7.3260073260073303E-3"/>
                </c:manualLayout>
              </c:layout>
              <c:showVal val="1"/>
            </c:dLbl>
            <c:dLbl>
              <c:idx val="3"/>
              <c:layout>
                <c:manualLayout>
                  <c:x val="1.360544217687074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strRef>
              <c:f>Лист2!$C$152:$F$152</c:f>
              <c:strCache>
                <c:ptCount val="4"/>
                <c:pt idx="0">
                  <c:v>2 кв.2014</c:v>
                </c:pt>
                <c:pt idx="1">
                  <c:v>2 кв.2015</c:v>
                </c:pt>
                <c:pt idx="2">
                  <c:v>2 кв.2016</c:v>
                </c:pt>
                <c:pt idx="3">
                  <c:v>2 кв.2017</c:v>
                </c:pt>
              </c:strCache>
            </c:strRef>
          </c:cat>
          <c:val>
            <c:numRef>
              <c:f>Лист2!$C$154:$F$154</c:f>
              <c:numCache>
                <c:formatCode>General</c:formatCode>
                <c:ptCount val="4"/>
                <c:pt idx="0">
                  <c:v>44</c:v>
                </c:pt>
                <c:pt idx="1">
                  <c:v>46</c:v>
                </c:pt>
                <c:pt idx="2">
                  <c:v>26</c:v>
                </c:pt>
                <c:pt idx="3">
                  <c:v>44</c:v>
                </c:pt>
              </c:numCache>
            </c:numRef>
          </c:val>
        </c:ser>
        <c:shape val="cylinder"/>
        <c:axId val="84662144"/>
        <c:axId val="84663680"/>
        <c:axId val="0"/>
      </c:bar3DChart>
      <c:catAx>
        <c:axId val="8466214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+mj-lt"/>
              </a:defRPr>
            </a:pPr>
            <a:endParaRPr lang="ru-RU"/>
          </a:p>
        </c:txPr>
        <c:crossAx val="84663680"/>
        <c:crosses val="autoZero"/>
        <c:auto val="1"/>
        <c:lblAlgn val="ctr"/>
        <c:lblOffset val="100"/>
      </c:catAx>
      <c:valAx>
        <c:axId val="846636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4662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550131233595803"/>
          <c:y val="5.6540624729601113E-2"/>
          <c:w val="0.27783202099737531"/>
          <c:h val="0.88864814975051198"/>
        </c:manualLayout>
      </c:layout>
      <c:txPr>
        <a:bodyPr/>
        <a:lstStyle/>
        <a:p>
          <a:pPr>
            <a:defRPr sz="1050" b="1">
              <a:latin typeface="+mj-lt"/>
            </a:defRPr>
          </a:pPr>
          <a:endParaRPr lang="ru-RU"/>
        </a:p>
      </c:txPr>
    </c:legend>
    <c:plotVisOnly val="1"/>
  </c:chart>
  <c:spPr>
    <a:ln w="38100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отдела СГМ</dc:creator>
  <cp:keywords/>
  <dc:description/>
  <cp:lastModifiedBy>Сотрудник отдела СГМ</cp:lastModifiedBy>
  <cp:revision>8</cp:revision>
  <dcterms:created xsi:type="dcterms:W3CDTF">2017-10-30T13:03:00Z</dcterms:created>
  <dcterms:modified xsi:type="dcterms:W3CDTF">2017-11-01T07:46:00Z</dcterms:modified>
</cp:coreProperties>
</file>